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Madeleine Vauthier (68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320"/>
        <w:jc w:val="center"/>
      </w:pPr>
      <w:r>
        <w:rPr>
          <w:rFonts w:ascii="Calibri" w:cs="Calibri" w:eastAsia="Calibri" w:hAnsi="Calibri"/>
          <w:color w:val="6B7280"/>
          <w:spacing w:val="30"/>
          <w:sz w:val="20"/>
          <w:szCs w:val="20"/>
        </w:rPr>
        <w:t xml:space="preserve">BILAN INITIAL · BILAN COGNITIF NEUROLOGIQUE</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Madeleine</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féminin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22 février 1958</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68 ans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scolaire/professionnel : </w:t>
            </w:r>
            <w:r>
              <w:rPr>
                <w:rFonts w:ascii="Calibri" w:cs="Calibri" w:eastAsia="Calibri" w:hAnsi="Calibri"/>
                <w:color w:val="1F2937"/>
                <w:sz w:val="22"/>
                <w:szCs w:val="22"/>
              </w:rPr>
              <w:t xml:space="preserve">Retraitée, ancienne pharmacienne d’officine</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Bertrand Mercier (médecin généraliste)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Madeleine, 68 ans, retraitée et ancienne pharmacienne, a été adressée pour un bilan orthophonique de relais suite à la prescription du Dr Mercier, son médecin traitant. Cette demande fait suite à un accident vasculaire cérébral ischémique sylvien gauche survenu il y a 8 semaines, ayant entraîné une aphasie de Broca initialement sévère ainsi qu’une hémiparésie droite. Le bilan a pour objectif d’objectiver le profil aphasique actuel après une prise en charge intensive en SSR neurologique et d’orienter la rééducation orthophonique libérale. Les plaintes principales rapportées sont un manque du mot massif, une fatigue persistante et des difficultés dans les conversations téléphoniques, avec un retentissement fonctionnel marqué sur la vie quotidienne et sociale.</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Madeleine est veuve depuis deux ans (décès de son mari, ancien médecin généraliste) et mère de deux enfants adultes : un fils ingénieur résidant à Paris et une fille enseignante vivant à 200 km. Elle vit seule dans un appartement de plain-pied en ville, bénéficiant d’une aide-ménagère quatre heures par semaine et de visites familiales hebdomadaires.</w:t>
      </w:r>
    </w:p>
    <w:p>
      <w:pPr>
        <w:spacing w:after="200" w:before="0" w:line="320"/>
      </w:pPr>
      <w:r>
        <w:rPr>
          <w:rFonts w:ascii="Calibri" w:cs="Calibri" w:eastAsia="Calibri" w:hAnsi="Calibri"/>
          <w:color w:val="1F2937"/>
          <w:sz w:val="22"/>
          <w:szCs w:val="22"/>
        </w:rPr>
        <w:t xml:space="preserve">Ses antécédents médicaux incluent une hypertension artérielle traitée depuis 2008 (irbésartan 150 mg, amlodipine 5 mg), une hypercholestérolémie sous atorvastatine 20 mg et un tabagisme sevré depuis 18 ans (cumul d’environ 25 paquets-années). Aucun antécédent cardiaque ou neurologique n’est rapporté. D’après l’entourage et le médecin traitant, aucun trouble cognitif n’était présent avant l’AVC.</w:t>
      </w:r>
    </w:p>
    <w:p>
      <w:pPr>
        <w:spacing w:after="200" w:before="0" w:line="320"/>
      </w:pPr>
      <w:r>
        <w:rPr>
          <w:rFonts w:ascii="Calibri" w:cs="Calibri" w:eastAsia="Calibri" w:hAnsi="Calibri"/>
          <w:color w:val="1F2937"/>
          <w:sz w:val="22"/>
          <w:szCs w:val="22"/>
        </w:rPr>
        <w:t xml:space="preserve">L’accident vasculaire cérébral est survenu le 7 mars 2026, à domicile, avec un début matinal. L’alerte a été donnée par sa fille, suite à un appel téléphonique où Madeleine était mutique et inhabituellement « bizarre ». L’hospitalisation initiale a duré 8 jours en unité neurovasculaire, avec imagerie objectivant un AVC ischémique sylvien gauche superficiel et profond, probablement d’origine athéromateuse (sténose carotidienne homolatérale à 50 %). Le tableau initial comportait un mutisme complet pendant 48 heures, une hémiplégie droite et une dysphagie modérée. L’évolution a été favorable avec reprise du langage dès le troisième jour, récupération motrice partielle et résolution rapide de la dysphagie.</w:t>
      </w:r>
    </w:p>
    <w:p>
      <w:pPr>
        <w:spacing w:after="200" w:before="0" w:line="320"/>
      </w:pPr>
      <w:r>
        <w:rPr>
          <w:rFonts w:ascii="Calibri" w:cs="Calibri" w:eastAsia="Calibri" w:hAnsi="Calibri"/>
          <w:color w:val="1F2937"/>
          <w:sz w:val="22"/>
          <w:szCs w:val="22"/>
        </w:rPr>
        <w:t xml:space="preserve">Après un séjour de 5 semaines en SSR neurologique (sortie le 19 avril 2026), Madeleine a bénéficié d’une prise en charge pluridisciplinaire (orthophonie quotidienne, kinésithérapie quotidienne, ergothérapie trois fois par semaine), permettant des progrès notables sur la motricité et le langage. Depuis son retour à domicile, elle exprime une frustration majeure liée au manque du mot, une fatigue persistante et des difficultés à suivre les conversations téléphoniques, avec un impact significatif sur ses activités de loisirs (lecture, mots croisés, bridge) et son autonomie administrative (démarches assurées par son fils). Aucun trouble mnésique majeur ni désorientation n’est rapporté.</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Madeleine s’est présentée accompagnée de son fils. Son niveau de vigilance était bon et l’attention soutenue a pu être maintenue pendant 30 à 40 minutes, au prix d’une fatigabilité notable en fin de séance. La coopération a été excellente, avec une tolérance correcte à la difficulté malgré une frustration visible lors des blocages lexicaux (soupirs, gestes d’agacement). La conscience du trouble est préservée, avec une lucidité marquée, facteur favorable pour la rééducation mais source de risque thymique à surveiller.</w:t>
      </w:r>
    </w:p>
    <w:p>
      <w:pPr>
        <w:spacing w:after="200" w:before="0" w:line="320"/>
      </w:pPr>
      <w:r>
        <w:rPr>
          <w:rFonts w:ascii="Calibri" w:cs="Calibri" w:eastAsia="Calibri" w:hAnsi="Calibri"/>
          <w:color w:val="1F2937"/>
          <w:sz w:val="22"/>
          <w:szCs w:val="22"/>
        </w:rPr>
        <w:t xml:space="preserve">Aucun signe dépressif franc n’a été observé lors du bilan. La communication non verbale est efficace, Madeleine ayant recours spontanément à la gestuelle, à la mimique et à l’écriture rudimentaire pour pallier les blocages langagiers. Les conditions de passation ont permis d’explorer l’ensemble des axes cognitifs et linguistiques sur une durée adaptée, en tenant compte de la fatigabilité et de la nécessité de pauses régulières.</w:t>
      </w:r>
    </w:p>
    <w:p>
      <w:pPr>
        <w:spacing w:after="220" w:before="360"/>
      </w:pPr>
      <w:r>
        <w:rPr>
          <w:rFonts w:ascii="Cambria" w:cs="Cambria" w:eastAsia="Cambria" w:hAnsi="Cambria"/>
          <w:b/>
          <w:bCs/>
          <w:color w:val="6D28D9"/>
          <w:sz w:val="30"/>
          <w:szCs w:val="30"/>
        </w:rPr>
        <w:t xml:space="preserve">Évaluation des fonctions cognitivo-linguistiques</w:t>
      </w:r>
    </w:p>
    <w:p>
      <w:pPr>
        <w:spacing w:after="200" w:before="0" w:line="320"/>
      </w:pPr>
      <w:r>
        <w:rPr>
          <w:rFonts w:ascii="Calibri" w:cs="Calibri" w:eastAsia="Calibri" w:hAnsi="Calibri"/>
          <w:color w:val="1F2937"/>
          <w:sz w:val="22"/>
          <w:szCs w:val="22"/>
        </w:rPr>
        <w:t xml:space="preserve">L’évaluation a été conduite à l’aide de la BETL (Batterie d’Évaluation des Troubles du Langage), du protocole MEC (Montréal d’Évaluation de la Communication) et de la batterie GREFEX (Évaluation des Fonctions Exécutives), administrés dans des conditions standardisées, sur deux séances distinctes pour limiter l’impact de la fatigabilité. Les résultats sont rapportés selon les étalonnages respectifs (percentiles pour la BETL et la GREFEX, scores qualitatifs pour la MEC).</w:t>
      </w:r>
    </w:p>
    <w:p>
      <w:pPr>
        <w:keepNext/>
        <w:keepLines/>
        <w:spacing w:after="220" w:before="360"/>
      </w:pPr>
      <w:r>
        <w:rPr>
          <w:rFonts w:ascii="Cambria" w:cs="Cambria" w:eastAsia="Cambria" w:hAnsi="Cambria"/>
          <w:b/>
          <w:bCs/>
          <w:color w:val="6D28D9"/>
          <w:sz w:val="30"/>
          <w:szCs w:val="30"/>
        </w:rPr>
        <w:t xml:space="preserve">Langage oral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382"/>
        <w:gridCol w:w="1782"/>
        <w:gridCol w:w="3582"/>
      </w:tblGrid>
      <w:tr>
        <w:trPr>
          <w:tblHeader/>
        </w:trPr>
        <w:tc>
          <w:tcPr>
            <w:tcW w:type="dxa" w:w="4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c>
          <w:tcPr>
            <w:tcW w:type="dxa" w:w="35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Expression orale (discours, dénomination)</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w:t>
            </w:r>
          </w:p>
        </w:tc>
        <w:tc>
          <w:tcPr>
            <w:tcW w:type="dxa" w:w="35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Compréhension orale (désignation, ordres complexes, Token Test)</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25</w:t>
            </w:r>
          </w:p>
        </w:tc>
        <w:tc>
          <w:tcPr>
            <w:tcW w:type="dxa" w:w="35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Répétition (mots, phrases)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w:t>
            </w:r>
          </w:p>
        </w:tc>
        <w:tc>
          <w:tcPr>
            <w:tcW w:type="dxa" w:w="35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Dénomination d’images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w:t>
            </w:r>
          </w:p>
        </w:tc>
        <w:tc>
          <w:tcPr>
            <w:tcW w:type="dxa" w:w="35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L’évaluation du langage oral met en évidence un profil typique d’aphasie de Broca, avec une expression spontanée très réduite, un manque du mot massif et des paraphasies phonémiques fréquentes. L’agrammatisme est net, la production verbale se limitant à des phrases courtes et télégraphiques, à dominante substantive. La compréhension orale est relativement préservée pour les énoncés simples, mais montre une fragilité pour les structures syntaxiques complexes. La répétition est altérée, surtout pour les phrases longues et les mots polysyllabiques.</w:t>
      </w:r>
    </w:p>
    <w:p>
      <w:pPr>
        <w:keepNext/>
        <w:keepLines/>
        <w:spacing w:after="220" w:before="360"/>
      </w:pPr>
      <w:r>
        <w:rPr>
          <w:rFonts w:ascii="Cambria" w:cs="Cambria" w:eastAsia="Cambria" w:hAnsi="Cambria"/>
          <w:b/>
          <w:bCs/>
          <w:color w:val="6D28D9"/>
          <w:sz w:val="30"/>
          <w:szCs w:val="30"/>
        </w:rPr>
        <w:t xml:space="preserve">Langage écrit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382"/>
        <w:gridCol w:w="1782"/>
        <w:gridCol w:w="3582"/>
      </w:tblGrid>
      <w:tr>
        <w:trPr>
          <w:tblHeader/>
        </w:trPr>
        <w:tc>
          <w:tcPr>
            <w:tcW w:type="dxa" w:w="4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c>
          <w:tcPr>
            <w:tcW w:type="dxa" w:w="35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Lecture (lecture à voix haute, compréhension écrite)</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w:t>
            </w:r>
          </w:p>
        </w:tc>
        <w:tc>
          <w:tcPr>
            <w:tcW w:type="dxa" w:w="35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Déficit fragile-modéré</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Écriture (spontanée, copie, dictée)</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w:t>
            </w:r>
          </w:p>
        </w:tc>
        <w:tc>
          <w:tcPr>
            <w:tcW w:type="dxa" w:w="35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lecture à voix haute est lente, hésitante et marquée par de nombreuses paralexies, tandis que la compréhension écrite globale reste meilleure que la production orale, permettant à Madeleine de restituer l’idée principale d’un texte court. L’écriture est très réduite, entravée à la fois par la composante motrice (main droite déficitaire, écriture maladroite de la main gauche) et linguistique (paragraphies, omissions). La copie est possible mais lente, la dictée est très altérée.</w:t>
      </w:r>
    </w:p>
    <w:p>
      <w:pPr>
        <w:keepNext/>
        <w:keepLines/>
        <w:spacing w:after="220" w:before="360"/>
      </w:pPr>
      <w:r>
        <w:rPr>
          <w:rFonts w:ascii="Cambria" w:cs="Cambria" w:eastAsia="Cambria" w:hAnsi="Cambria"/>
          <w:b/>
          <w:bCs/>
          <w:color w:val="6D28D9"/>
          <w:sz w:val="30"/>
          <w:szCs w:val="30"/>
        </w:rPr>
        <w:t xml:space="preserve">Fonctions exécutives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382"/>
        <w:gridCol w:w="1782"/>
        <w:gridCol w:w="3582"/>
      </w:tblGrid>
      <w:tr>
        <w:trPr>
          <w:tblHeader/>
        </w:trPr>
        <w:tc>
          <w:tcPr>
            <w:tcW w:type="dxa" w:w="4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c>
          <w:tcPr>
            <w:tcW w:type="dxa" w:w="35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Flexibilité mentale (TMT-B, fluences)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16</w:t>
            </w:r>
          </w:p>
        </w:tc>
        <w:tc>
          <w:tcPr>
            <w:tcW w:type="dxa" w:w="35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Inhibition (Stroop)</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25</w:t>
            </w:r>
          </w:p>
        </w:tc>
        <w:tc>
          <w:tcPr>
            <w:tcW w:type="dxa" w:w="35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4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Mise à jour de la mémoire de travail</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9</w:t>
            </w:r>
          </w:p>
        </w:tc>
        <w:tc>
          <w:tcPr>
            <w:tcW w:type="dxa" w:w="35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L’examen des fonctions exécutives révèle une flexibilité mentale fragile, avec un ralentissement marqué sur le Trail Making Test partie B et des performances limites en fluence verbale. L’inhibition est correcte, sans trouble majeur observé au Stroop. La mise à jour de la mémoire de travail est fragile, ce qui peut majorer les difficultés langagières, sans toutefois constituer un syndrome dysexécutif majeur.</w:t>
      </w:r>
    </w:p>
    <w:p>
      <w:pPr>
        <w:keepNext/>
        <w:keepLines/>
        <w:spacing w:after="220" w:before="360"/>
      </w:pPr>
      <w:r>
        <w:rPr>
          <w:rFonts w:ascii="Cambria" w:cs="Cambria" w:eastAsia="Cambria" w:hAnsi="Cambria"/>
          <w:b/>
          <w:bCs/>
          <w:color w:val="6D28D9"/>
          <w:sz w:val="30"/>
          <w:szCs w:val="30"/>
        </w:rPr>
        <w:t xml:space="preserve">Mémoire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382"/>
        <w:gridCol w:w="3382"/>
        <w:gridCol w:w="2982"/>
      </w:tblGrid>
      <w:tr>
        <w:trPr>
          <w:tblHeader/>
        </w:trPr>
        <w:tc>
          <w:tcPr>
            <w:tcW w:type="dxa" w:w="3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3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Empan verbal</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 chiffres endroit, 2 chiffres envers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Réduit</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Empan visuo-spatial (Corsi)</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4 cubes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Mémoire épisodique récente</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Fragile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Mémoire ancienne</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Préservée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Normale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mémoire de travail verbale est réduite, avec un empan inférieur à la norme adulte. La mémoire épisodique récente apparaît fragile, mais cette fragilité doit être interprétée avec prudence car le manque du mot peut masquer un trouble mnésique pur. La mémoire ancienne est préservée, tout comme la mémoire de travail visuo-spatiale, qui reste dans la norme inférieure.</w:t>
      </w:r>
    </w:p>
    <w:p>
      <w:pPr>
        <w:keepNext/>
        <w:keepLines/>
        <w:spacing w:after="220" w:before="360"/>
      </w:pPr>
      <w:r>
        <w:rPr>
          <w:rFonts w:ascii="Cambria" w:cs="Cambria" w:eastAsia="Cambria" w:hAnsi="Cambria"/>
          <w:b/>
          <w:bCs/>
          <w:color w:val="6D28D9"/>
          <w:sz w:val="30"/>
          <w:szCs w:val="30"/>
        </w:rPr>
        <w:t xml:space="preserve">Praxies et gnosies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382"/>
        <w:gridCol w:w="3382"/>
        <w:gridCol w:w="2982"/>
      </w:tblGrid>
      <w:tr>
        <w:trPr>
          <w:tblHeader/>
        </w:trPr>
        <w:tc>
          <w:tcPr>
            <w:tcW w:type="dxa" w:w="3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3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Praxis bucco-faciale</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Préservée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Normale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Apraxie idéo-motrice (main droite)</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Légère, parésique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Gnosies visuelles et auditives</w:t>
            </w:r>
          </w:p>
        </w:tc>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Préservées</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Normales</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praxies bucco-faciales sont intactes, ce qui permet d’exclure une apraxie de la parole pure. Une apraxie idéo-motrice légère est notée sur la main droite, en lien avec la parésie. Les gnosies visuelles et auditives sont préservées, Madeleine reconnaissant correctement les images, les sons familiers et les visages connus.</w:t>
      </w:r>
    </w:p>
    <w:p>
      <w:pPr>
        <w:keepNext/>
        <w:keepLines/>
        <w:spacing w:after="220" w:before="360"/>
      </w:pPr>
      <w:r>
        <w:rPr>
          <w:rFonts w:ascii="Cambria" w:cs="Cambria" w:eastAsia="Cambria" w:hAnsi="Cambria"/>
          <w:b/>
          <w:bCs/>
          <w:color w:val="6D28D9"/>
          <w:sz w:val="30"/>
          <w:szCs w:val="30"/>
        </w:rPr>
        <w:t xml:space="preserve">Synthèse quantitative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382"/>
        <w:gridCol w:w="2182"/>
        <w:gridCol w:w="2182"/>
        <w:gridCol w:w="2000"/>
      </w:tblGrid>
      <w:tr>
        <w:trPr>
          <w:tblHeader/>
        </w:trPr>
        <w:tc>
          <w:tcPr>
            <w:tcW w:type="dxa" w:w="33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DOMAINE</w:t>
            </w:r>
          </w:p>
        </w:tc>
        <w:tc>
          <w:tcPr>
            <w:tcW w:type="dxa" w:w="21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 MOYEN (M=10)</w:t>
            </w:r>
          </w:p>
        </w:tc>
        <w:tc>
          <w:tcPr>
            <w:tcW w:type="dxa" w:w="21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MOYEN</w:t>
            </w:r>
          </w:p>
        </w:tc>
        <w:tc>
          <w:tcPr>
            <w:tcW w:type="dxa" w:w="20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STATUT</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Langage oral (expression, dénomination, répétition, compréhension)</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000"/>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Langage écrit (lecture, écriture)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000"/>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Fonctions exécutives</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000"/>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Mémoire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000"/>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33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et gnosies</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center"/>
            </w:pPr>
            <w:r>
              <w:rPr>
                <w:rFonts w:ascii="Calibri" w:cs="Calibri" w:eastAsia="Calibri" w:hAnsi="Calibri"/>
                <w:color w:val="1F2937"/>
                <w:sz w:val="22"/>
                <w:szCs w:val="22"/>
              </w:rPr>
              <w:t xml:space="preserve">—</w:t>
            </w:r>
          </w:p>
        </w:tc>
        <w:tc>
          <w:tcPr>
            <w:tcW w:type="dxa" w:w="2000"/>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Normal</w:t>
            </w:r>
          </w:p>
        </w:tc>
      </w:tr>
    </w:tbl>
    <w:p>
      <w:pPr>
        <w:spacing w:after="220" w:before="0"/>
      </w:pPr>
      <w:r>
        <w:t xml:space="preserve"/>
      </w:r>
    </w:p>
    <w:p>
      <w:pPr>
        <w:spacing w:after="220" w:before="360"/>
      </w:pPr>
      <w:r>
        <w:rPr>
          <w:rFonts w:ascii="Cambria" w:cs="Cambria" w:eastAsia="Cambria" w:hAnsi="Cambria"/>
          <w:b/>
          <w:bCs/>
          <w:color w:val="6D28D9"/>
          <w:sz w:val="30"/>
          <w:szCs w:val="30"/>
        </w:rPr>
        <w:t xml:space="preserve">Observations qualitatives</w:t>
      </w:r>
    </w:p>
    <w:p>
      <w:pPr>
        <w:numPr>
          <w:ilvl w:val="0"/>
          <w:numId w:val="1"/>
        </w:numPr>
        <w:spacing w:after="120" w:before="0" w:line="320"/>
      </w:pPr>
      <w:r>
        <w:rPr>
          <w:rFonts w:ascii="Calibri" w:cs="Calibri" w:eastAsia="Calibri" w:hAnsi="Calibri"/>
          <w:b/>
          <w:bCs/>
          <w:color w:val="1F2937"/>
          <w:sz w:val="22"/>
          <w:szCs w:val="22"/>
        </w:rPr>
        <w:t xml:space="preserve">Langage oral — Expression : </w:t>
      </w:r>
      <w:r>
        <w:rPr>
          <w:rFonts w:ascii="Calibri" w:cs="Calibri" w:eastAsia="Calibri" w:hAnsi="Calibri"/>
          <w:color w:val="1F2937"/>
          <w:sz w:val="22"/>
          <w:szCs w:val="22"/>
        </w:rPr>
        <w:t xml:space="preserve">discours globalement réduit, télégraphique, à dominante substantive. Manque du mot massif (anomie) sur les substantifs concrets et abstraits, plus marqué sur les items moins fréquents. Paraphasies phonémiques fréquentes (« table » → « tabe », « ordinateur » → « ortinateur »). Quelques paraphasies sémantiques (« fourchette » → « cuillère »). Agrammatisme net : omission systématique de mots-fonctions, conjugaisons défaillantes, pas de subordonnée, phrases courtes (3-5 mots maximum). Production d’automatismes préservée : Madeleine compte sans difficulté de 1 à 20, énonce les jours de la semaine, les mois de l’année, récite quelques formules figées (« bonjour madame », « comment ça va »). Le chant d’une chanson connue (« Au clair de la lune ») est étonnamment préservé.</w:t>
      </w:r>
    </w:p>
    <w:p>
      <w:pPr>
        <w:numPr>
          <w:ilvl w:val="0"/>
          <w:numId w:val="1"/>
        </w:numPr>
        <w:spacing w:after="120" w:before="0" w:line="320"/>
      </w:pPr>
      <w:r>
        <w:rPr>
          <w:rFonts w:ascii="Calibri" w:cs="Calibri" w:eastAsia="Calibri" w:hAnsi="Calibri"/>
          <w:b/>
          <w:bCs/>
          <w:color w:val="1F2937"/>
          <w:sz w:val="22"/>
          <w:szCs w:val="22"/>
        </w:rPr>
        <w:t xml:space="preserve">Langage oral — Répétition : </w:t>
      </w:r>
      <w:r>
        <w:rPr>
          <w:rFonts w:ascii="Calibri" w:cs="Calibri" w:eastAsia="Calibri" w:hAnsi="Calibri"/>
          <w:color w:val="1F2937"/>
          <w:sz w:val="22"/>
          <w:szCs w:val="22"/>
        </w:rPr>
        <w:t xml:space="preserve">fonction altérée, gradient de difficulté classique. Répétition de mots simples (1-2 syllabes) globalement préservée. Répétition de mots longs (3-4 syllabes et plus) altérée. Répétition de phrases courtes : possible avec efforts. Répétition de phrases longues : échec (raccourcissement spontané, paraphasies, agrammatisme).</w:t>
      </w:r>
    </w:p>
    <w:p>
      <w:pPr>
        <w:numPr>
          <w:ilvl w:val="0"/>
          <w:numId w:val="1"/>
        </w:numPr>
        <w:spacing w:after="120" w:before="0" w:line="320"/>
      </w:pPr>
      <w:r>
        <w:rPr>
          <w:rFonts w:ascii="Calibri" w:cs="Calibri" w:eastAsia="Calibri" w:hAnsi="Calibri"/>
          <w:b/>
          <w:bCs/>
          <w:color w:val="1F2937"/>
          <w:sz w:val="22"/>
          <w:szCs w:val="22"/>
        </w:rPr>
        <w:t xml:space="preserve">Langage oral — Compréhension : </w:t>
      </w:r>
      <w:r>
        <w:rPr>
          <w:rFonts w:ascii="Calibri" w:cs="Calibri" w:eastAsia="Calibri" w:hAnsi="Calibri"/>
          <w:color w:val="1F2937"/>
          <w:sz w:val="22"/>
          <w:szCs w:val="22"/>
        </w:rPr>
        <w:t xml:space="preserve">préservée pour les énoncés simples, fragile pour les énoncés syntaxiquement complexes. Désignation d’images : préservée pour items fréquents, hésitations sur items moins fréquents. Compréhension de phrases simples (« montrez le stylo ») : OK. Compréhension de phrases avec subordonnées ou structures passives (« le chien est mordu par le chat ») : altérée, erreurs d’attribution des rôles. Token Test : déficit modéré.</w:t>
      </w:r>
    </w:p>
    <w:p>
      <w:pPr>
        <w:numPr>
          <w:ilvl w:val="0"/>
          <w:numId w:val="1"/>
        </w:numPr>
        <w:spacing w:after="120" w:before="0" w:line="320"/>
      </w:pPr>
      <w:r>
        <w:rPr>
          <w:rFonts w:ascii="Calibri" w:cs="Calibri" w:eastAsia="Calibri" w:hAnsi="Calibri"/>
          <w:b/>
          <w:bCs/>
          <w:color w:val="1F2937"/>
          <w:sz w:val="22"/>
          <w:szCs w:val="22"/>
        </w:rPr>
        <w:t xml:space="preserve">Lecture : </w:t>
      </w:r>
      <w:r>
        <w:rPr>
          <w:rFonts w:ascii="Calibri" w:cs="Calibri" w:eastAsia="Calibri" w:hAnsi="Calibri"/>
          <w:color w:val="1F2937"/>
          <w:sz w:val="22"/>
          <w:szCs w:val="22"/>
        </w:rPr>
        <w:t xml:space="preserve">décodage altéré, lecture à voix haute lente, hésitante, parsemée de paralexies (substitutions de lettres ou de morphèmes). Compréhension écrite globale meilleure que la production (Madeleine peut lire silencieusement un texte court et en restituer l’idée principale par gestes ou mots-clés). Lecture de texte long limitée par fatigabilité.</w:t>
      </w:r>
    </w:p>
    <w:p>
      <w:pPr>
        <w:numPr>
          <w:ilvl w:val="0"/>
          <w:numId w:val="1"/>
        </w:numPr>
        <w:spacing w:after="120" w:before="0" w:line="320"/>
      </w:pPr>
      <w:r>
        <w:rPr>
          <w:rFonts w:ascii="Calibri" w:cs="Calibri" w:eastAsia="Calibri" w:hAnsi="Calibri"/>
          <w:b/>
          <w:bCs/>
          <w:color w:val="1F2937"/>
          <w:sz w:val="22"/>
          <w:szCs w:val="22"/>
        </w:rPr>
        <w:t xml:space="preserve">Écriture : </w:t>
      </w:r>
      <w:r>
        <w:rPr>
          <w:rFonts w:ascii="Calibri" w:cs="Calibri" w:eastAsia="Calibri" w:hAnsi="Calibri"/>
          <w:color w:val="1F2937"/>
          <w:sz w:val="22"/>
          <w:szCs w:val="22"/>
        </w:rPr>
        <w:t xml:space="preserve">agraphie associée combinant composante motrice (membre supérieur droit déficitaire — Madeleine est droitière de naissance, contrainte d’utiliser la main gauche, écriture maladroite) et composante linguistique. Écriture spontanée très réduite : 1 à 2 mots maximum, paragraphies (substitutions de lettres). Copie : préservée mais lente. Dictée : très altérée, paragraphies multiples, omissions de fin de mot.</w:t>
      </w:r>
    </w:p>
    <w:p>
      <w:pPr>
        <w:numPr>
          <w:ilvl w:val="0"/>
          <w:numId w:val="1"/>
        </w:numPr>
        <w:spacing w:after="120" w:before="0" w:line="320"/>
      </w:pPr>
      <w:r>
        <w:rPr>
          <w:rFonts w:ascii="Calibri" w:cs="Calibri" w:eastAsia="Calibri" w:hAnsi="Calibri"/>
          <w:b/>
          <w:bCs/>
          <w:color w:val="1F2937"/>
          <w:sz w:val="22"/>
          <w:szCs w:val="22"/>
        </w:rPr>
        <w:t xml:space="preserve">Calcul : </w:t>
      </w:r>
      <w:r>
        <w:rPr>
          <w:rFonts w:ascii="Calibri" w:cs="Calibri" w:eastAsia="Calibri" w:hAnsi="Calibri"/>
          <w:color w:val="1F2937"/>
          <w:sz w:val="22"/>
          <w:szCs w:val="22"/>
        </w:rPr>
        <w:t xml:space="preserve">calcul mental simple préservé (additions et soustractions à 2 chiffres, tables de multiplication usuelles connues). Calcul écrit altéré (erreurs algorithmiques, difficulté à poser une opération à 3 chiffres). Manipulation des grands nombres altérée. Pas d’acalculie sévère, profil compatible avec une dyscalculie acquise modérée associée à l’aphasie.</w:t>
      </w:r>
    </w:p>
    <w:p>
      <w:pPr>
        <w:numPr>
          <w:ilvl w:val="0"/>
          <w:numId w:val="1"/>
        </w:numPr>
        <w:spacing w:after="120" w:before="0" w:line="320"/>
      </w:pPr>
      <w:r>
        <w:rPr>
          <w:rFonts w:ascii="Calibri" w:cs="Calibri" w:eastAsia="Calibri" w:hAnsi="Calibri"/>
          <w:b/>
          <w:bCs/>
          <w:color w:val="1F2937"/>
          <w:sz w:val="22"/>
          <w:szCs w:val="22"/>
        </w:rPr>
        <w:t xml:space="preserve">Praxis et gnosies : </w:t>
      </w:r>
      <w:r>
        <w:rPr>
          <w:rFonts w:ascii="Calibri" w:cs="Calibri" w:eastAsia="Calibri" w:hAnsi="Calibri"/>
          <w:color w:val="1F2937"/>
          <w:sz w:val="22"/>
          <w:szCs w:val="22"/>
        </w:rPr>
        <w:t xml:space="preserve">praxies bucco-faciales préservées (pas d’apraxie bucco-linguale), apraxie idéo-motrice légère sur main droite (parésique). Gnosies visuelles et auditives préservées : Madeleine reconnaît correctement les images, les bruits familiers, identifie les visages connus.</w:t>
      </w:r>
    </w:p>
    <w:p>
      <w:pPr>
        <w:numPr>
          <w:ilvl w:val="0"/>
          <w:numId w:val="1"/>
        </w:numPr>
        <w:spacing w:after="120" w:before="0" w:line="320"/>
      </w:pPr>
      <w:r>
        <w:rPr>
          <w:rFonts w:ascii="Calibri" w:cs="Calibri" w:eastAsia="Calibri" w:hAnsi="Calibri"/>
          <w:b/>
          <w:bCs/>
          <w:color w:val="1F2937"/>
          <w:sz w:val="22"/>
          <w:szCs w:val="22"/>
        </w:rPr>
        <w:t xml:space="preserve">Mémoire : </w:t>
      </w:r>
      <w:r>
        <w:rPr>
          <w:rFonts w:ascii="Calibri" w:cs="Calibri" w:eastAsia="Calibri" w:hAnsi="Calibri"/>
          <w:color w:val="1F2937"/>
          <w:sz w:val="22"/>
          <w:szCs w:val="22"/>
        </w:rPr>
        <w:t xml:space="preserve">mémoire épisodique récente fragile (à différencier soigneusement d’un trouble mnésique pur, le manque du mot pouvant masquer un déficit). Mémoire ancienne (autobiographique) préservée. Empan verbal : 3 chiffres endroit (norme adulte ≥ 6), 2 chiffres envers (réduit). Mémoire de travail visuo-spatiale dans la norme (Empan de Corsi : 4 cubes, norme inférieure).</w:t>
      </w:r>
    </w:p>
    <w:p>
      <w:pPr>
        <w:numPr>
          <w:ilvl w:val="0"/>
          <w:numId w:val="1"/>
        </w:numPr>
        <w:spacing w:after="120" w:before="0" w:line="320"/>
      </w:pPr>
      <w:r>
        <w:rPr>
          <w:rFonts w:ascii="Calibri" w:cs="Calibri" w:eastAsia="Calibri" w:hAnsi="Calibri"/>
          <w:b/>
          <w:bCs/>
          <w:color w:val="1F2937"/>
          <w:sz w:val="22"/>
          <w:szCs w:val="22"/>
        </w:rPr>
        <w:t xml:space="preserve">Fonctions exécutives : </w:t>
      </w:r>
      <w:r>
        <w:rPr>
          <w:rFonts w:ascii="Calibri" w:cs="Calibri" w:eastAsia="Calibri" w:hAnsi="Calibri"/>
          <w:color w:val="1F2937"/>
          <w:sz w:val="22"/>
          <w:szCs w:val="22"/>
        </w:rPr>
        <w:t xml:space="preserve">flexibilité mentale fragile (Trail Making Test partie B : très ralenti). Inhibition correcte (Stroop : interférence acceptable). Résolution de problèmes verbaux altérée (en partie liée au langage). Pas d’élément orientant vers une démence frontale ou un syndrome dysexécutif majeur — atteinte cohérente avec la lésion frontale gauche post-AVC.</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 profil clinique et psychométrique de Madeleine est évocateur d’une aphasie de Broca de sévérité modérée, consécutive à un accident vasculaire cérébral sylvien gauche survenu il y a 8 semaines. L’expression orale est sévèrement réduite, caractérisée par un discours télégraphique, un manque du mot massif, des paraphasies phonémiques et un agrammatisme marqué. La compréhension orale reste relativement préservée pour les énoncés simples, mais se fragilise dès que la complexité syntaxique augmente. La répétition est altérée, principalement pour les énoncés longs ou complexes.</w:t>
      </w:r>
    </w:p>
    <w:p>
      <w:pPr>
        <w:spacing w:after="200" w:before="0" w:line="320"/>
      </w:pPr>
      <w:r>
        <w:rPr>
          <w:rFonts w:ascii="Calibri" w:cs="Calibri" w:eastAsia="Calibri" w:hAnsi="Calibri"/>
          <w:color w:val="1F2937"/>
          <w:sz w:val="22"/>
          <w:szCs w:val="22"/>
        </w:rPr>
        <w:t xml:space="preserve">Le langage écrit est également touché, avec une lecture à voix haute hésitante et une écriture très limitée, entravée à la fois par la composante motrice (hémiparésie droite) et linguistique (agraphie). Les fonctions exécutives présentent une fragilité modérée, notamment sur la flexibilité mentale, sans syndrome dysexécutif majeur. La mémoire de travail verbale est réduite, la mémoire épisodique récente fragile mais sans trouble mnésique pur avéré, et la mémoire ancienne préservée.</w:t>
      </w:r>
    </w:p>
    <w:p>
      <w:pPr>
        <w:spacing w:after="200" w:before="0" w:line="320"/>
      </w:pPr>
      <w:r>
        <w:rPr>
          <w:rFonts w:ascii="Calibri" w:cs="Calibri" w:eastAsia="Calibri" w:hAnsi="Calibri"/>
          <w:color w:val="1F2937"/>
          <w:sz w:val="22"/>
          <w:szCs w:val="22"/>
        </w:rPr>
        <w:t xml:space="preserve">Le retentissement fonctionnel est important, impactant l’autonomie dans les activités de la vie quotidienne, la communication sociale et les loisirs. L’absence de syndrome démentiel et la préservation des praxies et gnosies sont des éléments pronostiques favorables. Le tableau est cohérent avec une aphasie de Broca post-AVC, avec composante exécutive associée légère à modérée, en phase de récupération active.</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Compte tenu de la sévérité modérée de l’aphasie de Broca, de la composante exécutive associée et du retentissement sur l’autonomie et la qualité de vie, une prise en charge orthophonique intensive et pluridimensionnelle est recommandée. L’objectif est de soutenir la récupération maximale des fonctions linguistiques et exécutives, de favoriser l’autonomie et la reprise des activités antérieures, tout en accompagnant Madeleine dans la gestion de la frustration et l’adaptation à ses nouveaux besoins de communication.</w:t>
      </w:r>
    </w:p>
    <w:p>
      <w:pPr>
        <w:numPr>
          <w:ilvl w:val="0"/>
          <w:numId w:val="1"/>
        </w:numPr>
        <w:spacing w:after="120" w:before="0" w:line="320"/>
      </w:pPr>
      <w:r>
        <w:rPr>
          <w:rFonts w:ascii="Calibri" w:cs="Calibri" w:eastAsia="Calibri" w:hAnsi="Calibri"/>
          <w:b/>
          <w:bCs/>
          <w:color w:val="1F2937"/>
          <w:sz w:val="22"/>
          <w:szCs w:val="22"/>
        </w:rPr>
        <w:t xml:space="preserve">Rééducation de l’expression orale : </w:t>
      </w:r>
      <w:r>
        <w:rPr>
          <w:rFonts w:ascii="Calibri" w:cs="Calibri" w:eastAsia="Calibri" w:hAnsi="Calibri"/>
          <w:color w:val="1F2937"/>
          <w:sz w:val="22"/>
          <w:szCs w:val="22"/>
        </w:rPr>
        <w:t xml:space="preserve">travail ciblé sur l’accès lexical (anomie), la réduction des paraphasies phonémiques, l’allongement progressif des énoncés et la réintégration des structures grammaticales (agrammatisme).</w:t>
      </w:r>
    </w:p>
    <w:p>
      <w:pPr>
        <w:numPr>
          <w:ilvl w:val="0"/>
          <w:numId w:val="1"/>
        </w:numPr>
        <w:spacing w:after="120" w:before="0" w:line="320"/>
      </w:pPr>
      <w:r>
        <w:rPr>
          <w:rFonts w:ascii="Calibri" w:cs="Calibri" w:eastAsia="Calibri" w:hAnsi="Calibri"/>
          <w:b/>
          <w:bCs/>
          <w:color w:val="1F2937"/>
          <w:sz w:val="22"/>
          <w:szCs w:val="22"/>
        </w:rPr>
        <w:t xml:space="preserve">Renforcement de la compréhension orale : </w:t>
      </w:r>
      <w:r>
        <w:rPr>
          <w:rFonts w:ascii="Calibri" w:cs="Calibri" w:eastAsia="Calibri" w:hAnsi="Calibri"/>
          <w:color w:val="1F2937"/>
          <w:sz w:val="22"/>
          <w:szCs w:val="22"/>
        </w:rPr>
        <w:t xml:space="preserve">exercices de compréhension d’énoncés complexes, désignation d’images, travail sur la compréhension des structures syntaxiques difficiles.</w:t>
      </w:r>
    </w:p>
    <w:p>
      <w:pPr>
        <w:numPr>
          <w:ilvl w:val="0"/>
          <w:numId w:val="1"/>
        </w:numPr>
        <w:spacing w:after="120" w:before="0" w:line="320"/>
      </w:pPr>
      <w:r>
        <w:rPr>
          <w:rFonts w:ascii="Calibri" w:cs="Calibri" w:eastAsia="Calibri" w:hAnsi="Calibri"/>
          <w:b/>
          <w:bCs/>
          <w:color w:val="1F2937"/>
          <w:sz w:val="22"/>
          <w:szCs w:val="22"/>
        </w:rPr>
        <w:t xml:space="preserve">Réadaptation du langage écrit : </w:t>
      </w:r>
      <w:r>
        <w:rPr>
          <w:rFonts w:ascii="Calibri" w:cs="Calibri" w:eastAsia="Calibri" w:hAnsi="Calibri"/>
          <w:color w:val="1F2937"/>
          <w:sz w:val="22"/>
          <w:szCs w:val="22"/>
        </w:rPr>
        <w:t xml:space="preserve">stimulation de la lecture fonctionnelle (textes courts, consignes), pratique de l’écriture assistée (copie, dictée adaptée, utilisation de la main gauche), stratégies compensatoires pour la communication écrite.</w:t>
      </w:r>
    </w:p>
    <w:p>
      <w:pPr>
        <w:numPr>
          <w:ilvl w:val="0"/>
          <w:numId w:val="1"/>
        </w:numPr>
        <w:spacing w:after="120" w:before="0" w:line="320"/>
      </w:pPr>
      <w:r>
        <w:rPr>
          <w:rFonts w:ascii="Calibri" w:cs="Calibri" w:eastAsia="Calibri" w:hAnsi="Calibri"/>
          <w:b/>
          <w:bCs/>
          <w:color w:val="1F2937"/>
          <w:sz w:val="22"/>
          <w:szCs w:val="22"/>
        </w:rPr>
        <w:t xml:space="preserve">Stimulation des fonctions exécutives : </w:t>
      </w:r>
      <w:r>
        <w:rPr>
          <w:rFonts w:ascii="Calibri" w:cs="Calibri" w:eastAsia="Calibri" w:hAnsi="Calibri"/>
          <w:color w:val="1F2937"/>
          <w:sz w:val="22"/>
          <w:szCs w:val="22"/>
        </w:rPr>
        <w:t xml:space="preserve">exercices de flexibilité mentale, de mémoire de travail et de résolution de problèmes, adaptés au niveau linguistique.</w:t>
      </w:r>
    </w:p>
    <w:p>
      <w:pPr>
        <w:numPr>
          <w:ilvl w:val="0"/>
          <w:numId w:val="1"/>
        </w:numPr>
        <w:spacing w:after="120" w:before="0" w:line="320"/>
      </w:pPr>
      <w:r>
        <w:rPr>
          <w:rFonts w:ascii="Calibri" w:cs="Calibri" w:eastAsia="Calibri" w:hAnsi="Calibri"/>
          <w:b/>
          <w:bCs/>
          <w:color w:val="1F2937"/>
          <w:sz w:val="22"/>
          <w:szCs w:val="22"/>
        </w:rPr>
        <w:t xml:space="preserve">Accompagnement psycho-social : </w:t>
      </w:r>
      <w:r>
        <w:rPr>
          <w:rFonts w:ascii="Calibri" w:cs="Calibri" w:eastAsia="Calibri" w:hAnsi="Calibri"/>
          <w:color w:val="1F2937"/>
          <w:sz w:val="22"/>
          <w:szCs w:val="22"/>
        </w:rPr>
        <w:t xml:space="preserve">conseils à la famille pour la communication adaptée, soutien à l’autonomie dans les activités de la vie quotidienne, encouragement à la reprise progressive des loisirs (lecture, bridge).</w:t>
      </w:r>
    </w:p>
    <w:p>
      <w:pPr>
        <w:numPr>
          <w:ilvl w:val="0"/>
          <w:numId w:val="1"/>
        </w:numPr>
        <w:spacing w:after="120" w:before="0" w:line="320"/>
      </w:pPr>
      <w:r>
        <w:rPr>
          <w:rFonts w:ascii="Calibri" w:cs="Calibri" w:eastAsia="Calibri" w:hAnsi="Calibri"/>
          <w:b/>
          <w:bCs/>
          <w:color w:val="1F2937"/>
          <w:sz w:val="22"/>
          <w:szCs w:val="22"/>
        </w:rPr>
        <w:t xml:space="preserve">Suivi de la thymie : </w:t>
      </w:r>
      <w:r>
        <w:rPr>
          <w:rFonts w:ascii="Calibri" w:cs="Calibri" w:eastAsia="Calibri" w:hAnsi="Calibri"/>
          <w:color w:val="1F2937"/>
          <w:sz w:val="22"/>
          <w:szCs w:val="22"/>
        </w:rPr>
        <w:t xml:space="preserve">surveillance de l’état émotionnel, relais avec le médecin traitant en cas de signes dépressifs.</w:t>
      </w:r>
    </w:p>
    <w:p>
      <w:pPr>
        <w:spacing w:after="200" w:before="200" w:line="320"/>
      </w:pPr>
      <w:r>
        <w:rPr>
          <w:rFonts w:ascii="Calibri" w:cs="Calibri" w:eastAsia="Calibri" w:hAnsi="Calibri"/>
          <w:color w:val="1F2937"/>
          <w:sz w:val="22"/>
          <w:szCs w:val="22"/>
        </w:rPr>
        <w:t xml:space="preserve">La prise en charge recommandée est de 3 séances hebdomadaires pendant les 6 prochains mois en phase intensive, puis de 2 séances hebdomadaires en phase d’entretien jusqu’à 12-18 mois post-AVC. Le renouvellement est préconisé pour 50 séances au titre du code AMO 15,4, conformément à la sévérité du trouble et à la nécessité d’une rééducation prolongée. Une concertation avec le médecin traitant est prévue pour le suivi global et l’ajustement du projet thérapeutique en fonction de l’évolution.</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Madeleine Vauthier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Robert Eymard — Déglutition</dc:title>
  <dc:creator>Orthonie</dc:creator>
  <dc:description>Compte-rendu de bilan orthophonique — Modèle Orthonie</dc:description>
  <cp:lastModifiedBy>Un-named</cp:lastModifiedBy>
  <cp:revision>1</cp:revision>
  <dcterms:created xsi:type="dcterms:W3CDTF">2026-05-02T18:25:12.191Z</dcterms:created>
  <dcterms:modified xsi:type="dcterms:W3CDTF">2026-05-02T18:25:12.191Z</dcterms:modified>
</cp:coreProperties>
</file>

<file path=docProps/custom.xml><?xml version="1.0" encoding="utf-8"?>
<Properties xmlns="http://schemas.openxmlformats.org/officeDocument/2006/custom-properties" xmlns:vt="http://schemas.openxmlformats.org/officeDocument/2006/docPropsVTypes"/>
</file>