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5360"/>
        <w:gridCol w:w="4386"/>
      </w:tblGrid>
      <w:tr>
        <w:tc>
          <w:tcPr>
            <w:tcW w:type="dxa" w:w="5360"/>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pPr>
            <w:r>
              <w:rPr>
                <w:rFonts w:ascii="Cambria" w:cs="Cambria" w:eastAsia="Cambria" w:hAnsi="Cambria"/>
                <w:b/>
                <w:bCs/>
                <w:color w:val="1F2937"/>
                <w:sz w:val="32"/>
                <w:szCs w:val="32"/>
              </w:rPr>
              <w:t xml:space="preserve">Cabinet Ortho</w:t>
            </w:r>
          </w:p>
          <w:p>
            <w:pPr>
              <w:spacing w:after="40" w:before="0" w:line="280"/>
            </w:pPr>
            <w:r>
              <w:rPr>
                <w:rFonts w:ascii="Calibri" w:cs="Calibri" w:eastAsia="Calibri" w:hAnsi="Calibri"/>
                <w:color w:val="6B7280"/>
                <w:sz w:val="18"/>
                <w:szCs w:val="18"/>
              </w:rPr>
              <w:t xml:space="preserve">Rue du Chemin Neuf 22 · 75010 Paris</w:t>
            </w:r>
          </w:p>
          <w:p>
            <w:pPr>
              <w:spacing w:after="40" w:before="0" w:line="280"/>
            </w:pPr>
            <w:r>
              <w:rPr>
                <w:rFonts w:ascii="Calibri" w:cs="Calibri" w:eastAsia="Calibri" w:hAnsi="Calibri"/>
                <w:color w:val="6B7280"/>
                <w:sz w:val="18"/>
                <w:szCs w:val="18"/>
              </w:rPr>
              <w:t xml:space="preserve">+33456374625</w:t>
            </w:r>
          </w:p>
          <w:p>
            <w:pPr>
              <w:spacing w:after="0" w:before="0" w:line="280"/>
            </w:pPr>
            <w:r>
              <w:rPr>
                <w:rFonts w:ascii="Calibri" w:cs="Calibri" w:eastAsia="Calibri" w:hAnsi="Calibri"/>
                <w:color w:val="6B7280"/>
                <w:sz w:val="18"/>
                <w:szCs w:val="18"/>
              </w:rPr>
              <w:t xml:space="preserve">ADELI 7512637434</w:t>
            </w:r>
          </w:p>
        </w:tc>
        <w:tc>
          <w:tcPr>
            <w:tcW w:type="dxa" w:w="4386"/>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spacing w:after="40" w:before="0" w:line="280"/>
              <w:jc w:val="right"/>
            </w:pPr>
            <w:r>
              <w:rPr>
                <w:rFonts w:ascii="Calibri" w:cs="Calibri" w:eastAsia="Calibri" w:hAnsi="Calibri"/>
                <w:color w:val="6B7280"/>
                <w:sz w:val="18"/>
                <w:szCs w:val="18"/>
              </w:rPr>
              <w:t xml:space="preserve">Fait le 2 mai 2026</w:t>
            </w:r>
          </w:p>
          <w:p>
            <w:pPr>
              <w:spacing w:after="0" w:before="0" w:line="280"/>
              <w:jc w:val="right"/>
            </w:pPr>
            <w:r>
              <w:rPr>
                <w:rFonts w:ascii="Calibri" w:cs="Calibri" w:eastAsia="Calibri" w:hAnsi="Calibri"/>
                <w:color w:val="6B7280"/>
                <w:sz w:val="18"/>
                <w:szCs w:val="18"/>
              </w:rPr>
              <w:t xml:space="preserve">Patient : Robert Eymard (72 ans)</w:t>
            </w:r>
          </w:p>
        </w:tc>
      </w:tr>
    </w:tbl>
    <w:p>
      <w:pPr>
        <w:pBdr>
          <w:bottom w:val="single" w:color="6D28D9" w:sz="12" w:space="1"/>
        </w:pBdr>
        <w:spacing w:after="220" w:before="200"/>
      </w:pPr>
      <w:r>
        <w:t xml:space="preserve"/>
      </w:r>
    </w:p>
    <w:p>
      <w:pPr>
        <w:spacing w:after="100" w:before="240"/>
        <w:jc w:val="center"/>
      </w:pPr>
      <w:r>
        <w:rPr>
          <w:rFonts w:ascii="Cambria" w:cs="Cambria" w:eastAsia="Cambria" w:hAnsi="Cambria"/>
          <w:b/>
          <w:bCs/>
          <w:color w:val="6D28D9"/>
          <w:sz w:val="44"/>
          <w:szCs w:val="44"/>
        </w:rPr>
        <w:t xml:space="preserve">Compte-rendu de bilan orthophonique</w:t>
      </w:r>
    </w:p>
    <w:p>
      <w:pPr>
        <w:spacing w:after="360" w:before="0" w:line="280"/>
        <w:jc w:val="center"/>
      </w:pPr>
      <w:r>
        <w:rPr>
          <w:rFonts w:ascii="Calibri" w:cs="Calibri" w:eastAsia="Calibri" w:hAnsi="Calibri"/>
          <w:color w:val="6B7280"/>
          <w:spacing w:val="30"/>
          <w:sz w:val="20"/>
          <w:szCs w:val="20"/>
        </w:rPr>
        <w:t xml:space="preserve">BILAN INITIAL · BILAN DE DÉGLUTITION ET ORALITÉ</w:t>
      </w:r>
    </w:p>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4873"/>
        <w:gridCol w:w="4873"/>
      </w:tblGrid>
      <w:tr>
        <w:tc>
          <w:tcPr>
            <w:tcW w:type="dxa" w:w="4873"/>
            <w:tcBorders>
              <w:top w:val="none" w:color="FFFFFF" w:sz="0"/>
              <w:left w:val="none" w:color="FFFFFF" w:sz="0"/>
              <w:bottom w:val="none" w:color="FFFFFF" w:sz="0"/>
              <w:right w:val="none" w:color="FFFFFF" w:sz="0"/>
            </w:tcBorders>
            <w:shd w:fill="F4F2FB" w:color="auto" w:val="clear"/>
            <w:tcMar>
              <w:top w:type="dxa" w:w="280"/>
              <w:left w:type="dxa" w:w="320"/>
              <w:bottom w:type="dxa" w:w="280"/>
              <w:right w:type="dxa" w:w="240"/>
            </w:tcMar>
          </w:tcPr>
          <w:p>
            <w:pPr>
              <w:spacing w:after="90" w:before="0" w:line="320"/>
            </w:pPr>
            <w:r>
              <w:rPr>
                <w:rFonts w:ascii="Calibri" w:cs="Calibri" w:eastAsia="Calibri" w:hAnsi="Calibri"/>
                <w:b/>
                <w:bCs/>
                <w:color w:val="1F2937"/>
                <w:sz w:val="22"/>
                <w:szCs w:val="22"/>
              </w:rPr>
              <w:t xml:space="preserve">Prénom : </w:t>
            </w:r>
            <w:r>
              <w:rPr>
                <w:rFonts w:ascii="Calibri" w:cs="Calibri" w:eastAsia="Calibri" w:hAnsi="Calibri"/>
                <w:color w:val="1F2937"/>
                <w:sz w:val="22"/>
                <w:szCs w:val="22"/>
              </w:rPr>
              <w:t xml:space="preserve">Robert</w:t>
            </w:r>
          </w:p>
          <w:p>
            <w:pPr>
              <w:spacing w:after="90" w:before="0" w:line="320"/>
            </w:pPr>
            <w:r>
              <w:rPr>
                <w:rFonts w:ascii="Calibri" w:cs="Calibri" w:eastAsia="Calibri" w:hAnsi="Calibri"/>
                <w:b/>
                <w:bCs/>
                <w:color w:val="1F2937"/>
                <w:sz w:val="22"/>
                <w:szCs w:val="22"/>
              </w:rPr>
              <w:t xml:space="preserve">Sexe : </w:t>
            </w:r>
            <w:r>
              <w:rPr>
                <w:rFonts w:ascii="Calibri" w:cs="Calibri" w:eastAsia="Calibri" w:hAnsi="Calibri"/>
                <w:color w:val="1F2937"/>
                <w:sz w:val="22"/>
                <w:szCs w:val="22"/>
              </w:rPr>
              <w:t xml:space="preserve">masculin</w:t>
            </w:r>
          </w:p>
          <w:p>
            <w:pPr>
              <w:spacing w:after="90" w:before="0" w:line="320"/>
            </w:pPr>
            <w:r>
              <w:rPr>
                <w:rFonts w:ascii="Calibri" w:cs="Calibri" w:eastAsia="Calibri" w:hAnsi="Calibri"/>
                <w:b/>
                <w:bCs/>
                <w:color w:val="1F2937"/>
                <w:sz w:val="22"/>
                <w:szCs w:val="22"/>
              </w:rPr>
              <w:t xml:space="preserve">Date de naissance : </w:t>
            </w:r>
            <w:r>
              <w:rPr>
                <w:rFonts w:ascii="Calibri" w:cs="Calibri" w:eastAsia="Calibri" w:hAnsi="Calibri"/>
                <w:color w:val="1F2937"/>
                <w:sz w:val="22"/>
                <w:szCs w:val="22"/>
              </w:rPr>
              <w:t xml:space="preserve">9 novembre 1953</w:t>
            </w:r>
          </w:p>
          <w:p>
            <w:pPr>
              <w:spacing w:after="90" w:before="0" w:line="320"/>
            </w:pPr>
            <w:r>
              <w:rPr>
                <w:rFonts w:ascii="Calibri" w:cs="Calibri" w:eastAsia="Calibri" w:hAnsi="Calibri"/>
                <w:b/>
                <w:bCs/>
                <w:color w:val="1F2937"/>
                <w:sz w:val="22"/>
                <w:szCs w:val="22"/>
              </w:rPr>
              <w:t xml:space="preserve">Âge : </w:t>
            </w:r>
            <w:r>
              <w:rPr>
                <w:rFonts w:ascii="Calibri" w:cs="Calibri" w:eastAsia="Calibri" w:hAnsi="Calibri"/>
                <w:color w:val="1F2937"/>
                <w:sz w:val="22"/>
                <w:szCs w:val="22"/>
              </w:rPr>
              <w:t xml:space="preserve">72 ans</w:t>
            </w:r>
          </w:p>
        </w:tc>
        <w:tc>
          <w:tcPr>
            <w:tcW w:type="dxa" w:w="4873"/>
            <w:tcBorders>
              <w:top w:val="none" w:color="FFFFFF" w:sz="0"/>
              <w:left w:val="none" w:color="FFFFFF" w:sz="0"/>
              <w:bottom w:val="none" w:color="FFFFFF" w:sz="0"/>
              <w:right w:val="none" w:color="FFFFFF" w:sz="0"/>
            </w:tcBorders>
            <w:shd w:fill="F4F2FB" w:color="auto" w:val="clear"/>
            <w:tcMar>
              <w:top w:type="dxa" w:w="280"/>
              <w:left w:type="dxa" w:w="240"/>
              <w:bottom w:type="dxa" w:w="280"/>
              <w:right w:type="dxa" w:w="320"/>
            </w:tcMar>
          </w:tcPr>
          <w:p>
            <w:pPr>
              <w:spacing w:after="90" w:before="0" w:line="320"/>
            </w:pPr>
            <w:r>
              <w:rPr>
                <w:rFonts w:ascii="Calibri" w:cs="Calibri" w:eastAsia="Calibri" w:hAnsi="Calibri"/>
                <w:b/>
                <w:bCs/>
                <w:color w:val="1F2937"/>
                <w:sz w:val="22"/>
                <w:szCs w:val="22"/>
              </w:rPr>
              <w:t xml:space="preserve">Niveau scolaire/professionnel : </w:t>
            </w:r>
            <w:r>
              <w:rPr>
                <w:rFonts w:ascii="Calibri" w:cs="Calibri" w:eastAsia="Calibri" w:hAnsi="Calibri"/>
                <w:color w:val="1F2937"/>
                <w:sz w:val="22"/>
                <w:szCs w:val="22"/>
              </w:rPr>
              <w:t xml:space="preserve">Retraité (ancien employé municipal)</w:t>
            </w:r>
          </w:p>
          <w:p>
            <w:pPr>
              <w:spacing w:after="90" w:before="0" w:line="320"/>
            </w:pPr>
            <w:r>
              <w:rPr>
                <w:rFonts w:ascii="Calibri" w:cs="Calibri" w:eastAsia="Calibri" w:hAnsi="Calibri"/>
                <w:b/>
                <w:bCs/>
                <w:color w:val="1F2937"/>
                <w:sz w:val="22"/>
                <w:szCs w:val="22"/>
              </w:rPr>
              <w:t xml:space="preserve">Adressant : </w:t>
            </w:r>
            <w:r>
              <w:rPr>
                <w:rFonts w:ascii="Calibri" w:cs="Calibri" w:eastAsia="Calibri" w:hAnsi="Calibri"/>
                <w:color w:val="1F2937"/>
                <w:sz w:val="22"/>
                <w:szCs w:val="22"/>
              </w:rPr>
              <w:t xml:space="preserve">Dr. Élisabeth Combes (médecin traitant)</w:t>
            </w:r>
          </w:p>
          <w:p>
            <w:pPr>
              <w:spacing w:after="90" w:before="0" w:line="320"/>
            </w:pPr>
            <w:r>
              <w:rPr>
                <w:rFonts w:ascii="Calibri" w:cs="Calibri" w:eastAsia="Calibri" w:hAnsi="Calibri"/>
                <w:b/>
                <w:bCs/>
                <w:color w:val="1F2937"/>
                <w:sz w:val="22"/>
                <w:szCs w:val="22"/>
              </w:rPr>
              <w:t xml:space="preserve">Date du bilan : </w:t>
            </w:r>
            <w:r>
              <w:rPr>
                <w:rFonts w:ascii="Calibri" w:cs="Calibri" w:eastAsia="Calibri" w:hAnsi="Calibri"/>
                <w:color w:val="1F2937"/>
                <w:sz w:val="22"/>
                <w:szCs w:val="22"/>
              </w:rPr>
              <w:t xml:space="preserve">2 mai 2026</w:t>
            </w:r>
          </w:p>
        </w:tc>
      </w:tr>
    </w:tbl>
    <w:p>
      <w:pPr>
        <w:spacing w:after="220" w:before="360"/>
      </w:pPr>
      <w:r>
        <w:rPr>
          <w:rFonts w:ascii="Cambria" w:cs="Cambria" w:eastAsia="Cambria" w:hAnsi="Cambria"/>
          <w:b/>
          <w:bCs/>
          <w:color w:val="6D28D9"/>
          <w:sz w:val="30"/>
          <w:szCs w:val="30"/>
        </w:rPr>
        <w:t xml:space="preserve">Motif de consultation</w:t>
      </w:r>
    </w:p>
    <w:p>
      <w:pPr>
        <w:spacing w:after="200" w:before="0" w:line="320"/>
      </w:pPr>
      <w:r>
        <w:rPr>
          <w:rFonts w:ascii="Calibri" w:cs="Calibri" w:eastAsia="Calibri" w:hAnsi="Calibri"/>
          <w:color w:val="1F2937"/>
          <w:sz w:val="22"/>
          <w:szCs w:val="22"/>
        </w:rPr>
        <w:t xml:space="preserve">Robert, 72 ans, retraité et ancien employé municipal, a été adressé à domicile par le Dr Combes, médecin traitant, pour un bilan orthophonique ciblé sur la déglutition dans le contexte d'une reprise de prise en charge après un AVC ischémique sylvien gauche survenu en mars 2026. La demande médicale porte à la fois sur l'évaluation des troubles du langage (aphasie de Broca légère résiduelle) et sur les troubles de la déglutition, le présent bilan se concentrant sur ce second versant. Les plaintes rapportées par le patient incluent une gêne importante lors des repas, une peur marquée des fausses routes, une fatigue post-prandiale, ainsi qu'une insatisfaction vis-à-vis du régime alimentaire modifié. Le contexte est celui d'une évolution post-AVC avec perte de poids récente et modifications alimentaires imposées.</w:t>
      </w:r>
    </w:p>
    <w:p>
      <w:pPr>
        <w:spacing w:after="220" w:before="360"/>
      </w:pPr>
      <w:r>
        <w:rPr>
          <w:rFonts w:ascii="Cambria" w:cs="Cambria" w:eastAsia="Cambria" w:hAnsi="Cambria"/>
          <w:b/>
          <w:bCs/>
          <w:color w:val="6D28D9"/>
          <w:sz w:val="30"/>
          <w:szCs w:val="30"/>
        </w:rPr>
        <w:t xml:space="preserve">Anamnèse</w:t>
      </w:r>
    </w:p>
    <w:p>
      <w:pPr>
        <w:spacing w:after="200" w:before="0" w:line="320"/>
      </w:pPr>
      <w:r>
        <w:rPr>
          <w:rFonts w:ascii="Calibri" w:cs="Calibri" w:eastAsia="Calibri" w:hAnsi="Calibri"/>
          <w:color w:val="1F2937"/>
          <w:sz w:val="22"/>
          <w:szCs w:val="22"/>
        </w:rPr>
        <w:t xml:space="preserve">Robert est marié depuis 47 ans et père de deux enfants adultes autonomes. Avant son AVC, il vivait en parfaite autonomie au domicile conjugal, conduisait sa voiture et participait activement à la vie sociale locale (club de pétanque, association d’anciens employés municipaux).</w:t>
      </w:r>
    </w:p>
    <w:p>
      <w:pPr>
        <w:spacing w:after="200" w:before="0" w:line="320"/>
      </w:pPr>
      <w:r>
        <w:rPr>
          <w:rFonts w:ascii="Calibri" w:cs="Calibri" w:eastAsia="Calibri" w:hAnsi="Calibri"/>
          <w:color w:val="1F2937"/>
          <w:sz w:val="22"/>
          <w:szCs w:val="22"/>
        </w:rPr>
        <w:t xml:space="preserve">Sur le plan médical, il présente une hypertension artérielle traitée depuis 2010 (amlodipine 5 mg), un diabète de type 2 équilibré sous metformine depuis 2015, et une fibrillation auriculaire diagnostiquée en 2022 (traitée par apixaban 5 mg x2/j). Il a arrêté de fumer il y a 22 ans (20 paquets-années cumulés). Il n’a pas d’antécédent cardiaque ou neurologique antérieur.</w:t>
      </w:r>
    </w:p>
    <w:p>
      <w:pPr>
        <w:spacing w:after="200" w:before="0" w:line="320"/>
      </w:pPr>
      <w:r>
        <w:rPr>
          <w:rFonts w:ascii="Calibri" w:cs="Calibri" w:eastAsia="Calibri" w:hAnsi="Calibri"/>
          <w:color w:val="1F2937"/>
          <w:sz w:val="22"/>
          <w:szCs w:val="22"/>
        </w:rPr>
        <w:t xml:space="preserve">L’AVC ischémique sylvien gauche est survenu le 6 mars 2026, avec installation brutale d’une hémiplégie droite et d’une aphasie. Il a été hospitalisé 8 jours en unité neurovasculaire, où l’imagerie a confirmé un AVC ischémique superficiel et profond d’étiologie cardio-embolique. Après une évolution favorable, il a bénéficié d’un séjour de 25 jours en SSR neurologique, avec récupération partielle de la marche (canne) et du membre supérieur droit (préhension fine altérée), et persistance d’une aphasie de Broca légère (compréhension orale préservée, expression ralentie, manque du mot occasionnel).</w:t>
      </w:r>
    </w:p>
    <w:p>
      <w:pPr>
        <w:spacing w:after="200" w:before="0" w:line="320"/>
      </w:pPr>
      <w:r>
        <w:rPr>
          <w:rFonts w:ascii="Calibri" w:cs="Calibri" w:eastAsia="Calibri" w:hAnsi="Calibri"/>
          <w:color w:val="1F2937"/>
          <w:sz w:val="22"/>
          <w:szCs w:val="22"/>
        </w:rPr>
        <w:t xml:space="preserve">Les troubles de la déglutition ont été identifiés dès la phase aiguë (fausses routes aux liquides clairs), avec début de suivi orthophonique en SSR et amélioration partielle. À la sortie, le régime alimentaire était haché-mixé avec liquides épaissis (nectar). Une fibroscopie ORL le 10 mars 2026 n’a pas montré de lésion organique, mais une sensibilité pharyngée diminuée à droite. Aucun épisode de pneumopathie d’inhalation n’a été rapporté. À ce jour, le patient a perdu 4 kg en 6 semaines (de 78 à 74 kg, IMC 24), et exprime une gêne majeure à l’alimentation, une peur des fausses routes, une fatigue post-prandiale et une insatisfaction concernant le goût des aliments. Son épouse rapporte des épisodes de toux pendant les repas et une voix modifiée après les repas.</w:t>
      </w:r>
    </w:p>
    <w:p>
      <w:pPr>
        <w:spacing w:after="220" w:before="360"/>
      </w:pPr>
      <w:r>
        <w:rPr>
          <w:rFonts w:ascii="Cambria" w:cs="Cambria" w:eastAsia="Cambria" w:hAnsi="Cambria"/>
          <w:b/>
          <w:bCs/>
          <w:color w:val="6D28D9"/>
          <w:sz w:val="30"/>
          <w:szCs w:val="30"/>
        </w:rPr>
        <w:t xml:space="preserve">Observations cliniques</w:t>
      </w:r>
    </w:p>
    <w:p>
      <w:pPr>
        <w:spacing w:after="200" w:before="0" w:line="320"/>
      </w:pPr>
      <w:r>
        <w:rPr>
          <w:rFonts w:ascii="Calibri" w:cs="Calibri" w:eastAsia="Calibri" w:hAnsi="Calibri"/>
          <w:color w:val="1F2937"/>
          <w:sz w:val="22"/>
          <w:szCs w:val="22"/>
        </w:rPr>
        <w:t xml:space="preserve">Le bilan a été réalisé à domicile, sur prescription médicale. Robert s’est montré coopérant, avec une vigilance correcte tout au long de la séance. Une fatigabilité notable apparaît au-delà de 30 minutes, cohérente avec ses habitudes de sieste l’après-midi.</w:t>
      </w:r>
    </w:p>
    <w:p>
      <w:pPr>
        <w:spacing w:after="200" w:before="0" w:line="320"/>
      </w:pPr>
      <w:r>
        <w:rPr>
          <w:rFonts w:ascii="Calibri" w:cs="Calibri" w:eastAsia="Calibri" w:hAnsi="Calibri"/>
          <w:color w:val="1F2937"/>
          <w:sz w:val="22"/>
          <w:szCs w:val="22"/>
        </w:rPr>
        <w:t xml:space="preserve">La communication est efficace en compréhension, bien que l’expression soit ralentie par des manques du mot et quelques stéréotypies, sans atteinte sémantique majeure. Une anxiété modérée est notée à l’évocation de la déglutition, mais elle s’atténue au fil des essais grâce à l’accompagnement et à l’explication des différentes textures testées.</w:t>
      </w:r>
    </w:p>
    <w:p>
      <w:pPr>
        <w:spacing w:after="220" w:before="360"/>
      </w:pPr>
      <w:r>
        <w:rPr>
          <w:rFonts w:ascii="Cambria" w:cs="Cambria" w:eastAsia="Cambria" w:hAnsi="Cambria"/>
          <w:b/>
          <w:bCs/>
          <w:color w:val="6D28D9"/>
          <w:sz w:val="30"/>
          <w:szCs w:val="30"/>
        </w:rPr>
        <w:t xml:space="preserve">Tests normés et résultats</w:t>
      </w:r>
    </w:p>
    <w:p>
      <w:pPr>
        <w:pStyle w:val="ListParagraph"/>
        <w:numPr>
          <w:ilvl w:val="0"/>
          <w:numId w:val="2"/>
        </w:numPr>
        <w:spacing w:after="80" w:before="40" w:line="320"/>
      </w:pPr>
      <w:r>
        <w:rPr>
          <w:rFonts w:ascii="Calibri" w:cs="Calibri" w:eastAsia="Calibri" w:hAnsi="Calibri"/>
          <w:color w:val="1F2937"/>
          <w:sz w:val="22"/>
          <w:szCs w:val="22"/>
        </w:rPr>
        <w:t xml:space="preserve">GUSS (Gugging Swallowing Screen)</w:t>
      </w:r>
    </w:p>
    <w:p>
      <w:pPr>
        <w:pStyle w:val="ListParagraph"/>
        <w:numPr>
          <w:ilvl w:val="0"/>
          <w:numId w:val="2"/>
        </w:numPr>
        <w:spacing w:after="80" w:before="40" w:line="320"/>
      </w:pPr>
      <w:r>
        <w:rPr>
          <w:rFonts w:ascii="Calibri" w:cs="Calibri" w:eastAsia="Calibri" w:hAnsi="Calibri"/>
          <w:color w:val="1F2937"/>
          <w:sz w:val="22"/>
          <w:szCs w:val="22"/>
        </w:rPr>
        <w:t xml:space="preserve">FOIS (Functional Oral Intake Scale)</w:t>
      </w:r>
    </w:p>
    <w:p>
      <w:pPr>
        <w:pStyle w:val="ListParagraph"/>
        <w:numPr>
          <w:ilvl w:val="0"/>
          <w:numId w:val="2"/>
        </w:numPr>
        <w:spacing w:after="80" w:before="40" w:line="320"/>
      </w:pPr>
      <w:r>
        <w:rPr>
          <w:rFonts w:ascii="Calibri" w:cs="Calibri" w:eastAsia="Calibri" w:hAnsi="Calibri"/>
          <w:color w:val="1F2937"/>
          <w:sz w:val="22"/>
          <w:szCs w:val="22"/>
        </w:rPr>
        <w:t xml:space="preserve">MBLF (non documenté dans le texte brut)</w:t>
      </w:r>
    </w:p>
    <w:p>
      <w:pPr>
        <w:pStyle w:val="ListParagraph"/>
        <w:numPr>
          <w:ilvl w:val="0"/>
          <w:numId w:val="2"/>
        </w:numPr>
        <w:spacing w:after="80" w:before="40" w:line="320"/>
      </w:pPr>
      <w:r>
        <w:rPr>
          <w:rFonts w:ascii="Calibri" w:cs="Calibri" w:eastAsia="Calibri" w:hAnsi="Calibri"/>
          <w:color w:val="1F2937"/>
          <w:sz w:val="22"/>
          <w:szCs w:val="22"/>
        </w:rPr>
        <w:t xml:space="preserve">DYMUS (non documenté dans le texte brut)</w:t>
      </w:r>
    </w:p>
    <w:p>
      <w:pPr>
        <w:pStyle w:val="ListParagraph"/>
        <w:numPr>
          <w:ilvl w:val="0"/>
          <w:numId w:val="2"/>
        </w:numPr>
        <w:spacing w:after="80" w:before="40" w:line="320"/>
      </w:pPr>
      <w:r>
        <w:rPr>
          <w:rFonts w:ascii="Calibri" w:cs="Calibri" w:eastAsia="Calibri" w:hAnsi="Calibri"/>
          <w:color w:val="1F2937"/>
          <w:sz w:val="22"/>
          <w:szCs w:val="22"/>
        </w:rPr>
        <w:t xml:space="preserve">V-VST (Volume-Viscosity Swallow Test)</w:t>
      </w:r>
    </w:p>
    <w:p>
      <w:pPr>
        <w:pStyle w:val="ListParagraph"/>
        <w:numPr>
          <w:ilvl w:val="0"/>
          <w:numId w:val="2"/>
        </w:numPr>
        <w:spacing w:after="80" w:before="40" w:line="320"/>
      </w:pPr>
      <w:r>
        <w:rPr>
          <w:rFonts w:ascii="Calibri" w:cs="Calibri" w:eastAsia="Calibri" w:hAnsi="Calibri"/>
          <w:color w:val="1F2937"/>
          <w:sz w:val="22"/>
          <w:szCs w:val="22"/>
        </w:rPr>
        <w:t xml:space="preserve">MASA (Mann Assessment of Swallowing Ability)</w:t>
      </w:r>
    </w:p>
    <w:p>
      <w:pPr>
        <w:pStyle w:val="ListParagraph"/>
        <w:numPr>
          <w:ilvl w:val="0"/>
          <w:numId w:val="2"/>
        </w:numPr>
        <w:spacing w:after="80" w:before="40" w:line="320"/>
      </w:pPr>
      <w:r>
        <w:rPr>
          <w:rFonts w:ascii="Calibri" w:cs="Calibri" w:eastAsia="Calibri" w:hAnsi="Calibri"/>
          <w:color w:val="1F2937"/>
          <w:sz w:val="22"/>
          <w:szCs w:val="22"/>
        </w:rPr>
        <w:t xml:space="preserve">DOSS (Dysphagia Outcome and Severity Scale)</w:t>
      </w:r>
    </w:p>
    <w:p>
      <w:pPr>
        <w:pStyle w:val="ListParagraph"/>
        <w:numPr>
          <w:ilvl w:val="0"/>
          <w:numId w:val="2"/>
        </w:numPr>
        <w:spacing w:after="80" w:before="40" w:line="320"/>
      </w:pPr>
      <w:r>
        <w:rPr>
          <w:rFonts w:ascii="Calibri" w:cs="Calibri" w:eastAsia="Calibri" w:hAnsi="Calibri"/>
          <w:color w:val="1F2937"/>
          <w:sz w:val="22"/>
          <w:szCs w:val="22"/>
        </w:rPr>
        <w:t xml:space="preserve">EAT-10 (Eating Assessment Tool)</w:t>
      </w:r>
    </w:p>
    <w:p>
      <w:pPr>
        <w:spacing w:after="180" w:before="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746"/>
        <w:gridCol w:w="3500"/>
        <w:gridCol w:w="3500"/>
      </w:tblGrid>
      <w:tr>
        <w:trPr>
          <w:tblHeader/>
        </w:trPr>
        <w:tc>
          <w:tcPr>
            <w:tcW w:type="dxa" w:w="27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TEST</w:t>
            </w:r>
          </w:p>
        </w:tc>
        <w:tc>
          <w:tcPr>
            <w:tcW w:type="dxa" w:w="350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RÉSULTAT</w:t>
            </w:r>
          </w:p>
        </w:tc>
        <w:tc>
          <w:tcPr>
            <w:tcW w:type="dxa" w:w="350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V-VST (liquide clair, 5 ml)</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Signes de pénétration (toux protectrice, voix mouillée)</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Échec sécurité</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V-VST (liquide clair, 10 ml)</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Fausses routes manifestes</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Échec sécurité</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V-VST (nectar, 5/10 ml)</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Sécurité OK, pas de toux ni voix mouillée</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Sécurité assurée</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V-VST (nectar, 20 ml)</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Sécurité OK, efficacité limitée (résidus oraux)</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Sécurité assurée, efficacité limitée</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V-VST (pudding, 5/10/20 ml)</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Sécurité OK, efficacité satisfaisante</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Sécurité et efficacité assurées</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DOSS</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Niveau 4 (Mild-Moderate Dysphagia)</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Nécessite supervision, modifications texturales, risque modéré de pénétration laryngée</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MASA (score total)</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138/200</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Déficit fonctionnel significatif, sévérité modérée</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MASA (vigilance / coopération)</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8/10</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Préservée</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MASA (praxies bucco-linguales)</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12/20</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Déficitaires côté droit</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MASA (contrôle salivaire)</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7/10</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Fragile</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MASA (phase orale)</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14/25</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Ralentissement et asymétrie</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MASA (phase pharyngée)</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11/25</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Retard de réflexe, élévation laryngée diminuée</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MASA (voix)</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7/10</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Voix mouillée post-déglutition</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MASA (toux protectrice)</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9/10</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Présente, signe favorable</w:t>
            </w:r>
          </w:p>
        </w:tc>
      </w:tr>
      <w:tr>
        <w:trPr>
          <w:cantSplit/>
        </w:trPr>
        <w:tc>
          <w:tcPr>
            <w:tcW w:type="dxa" w:w="2746"/>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EAT-10</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21/40</w:t>
            </w:r>
          </w:p>
        </w:tc>
        <w:tc>
          <w:tcPr>
            <w:tcW w:type="dxa" w:w="35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Dysphagie significative, retentissement marqué</w:t>
            </w:r>
          </w:p>
        </w:tc>
      </w:tr>
    </w:tbl>
    <w:p>
      <w:pPr>
        <w:spacing w:after="220" w:before="360"/>
      </w:pPr>
      <w:r>
        <w:rPr>
          <w:rFonts w:ascii="Cambria" w:cs="Cambria" w:eastAsia="Cambria" w:hAnsi="Cambria"/>
          <w:b/>
          <w:bCs/>
          <w:color w:val="6D28D9"/>
          <w:sz w:val="30"/>
          <w:szCs w:val="30"/>
        </w:rPr>
        <w:t xml:space="preserve">Évaluation de la déglutition et de l'oralité</w:t>
      </w:r>
    </w:p>
    <w:p>
      <w:pPr>
        <w:spacing w:after="200" w:before="0" w:line="320"/>
      </w:pPr>
      <w:r>
        <w:rPr>
          <w:rFonts w:ascii="Calibri" w:cs="Calibri" w:eastAsia="Calibri" w:hAnsi="Calibri"/>
          <w:color w:val="1F2937"/>
          <w:sz w:val="22"/>
          <w:szCs w:val="22"/>
        </w:rPr>
        <w:t xml:space="preserve">L’évaluation de la déglutition a été conduite à l’aide de plusieurs outils cliniques structurés : V-VST (Volume-Viscosity Swallow Test), MASA (Mann Assessment of Swallowing Ability), DOSS (Dysphagia Outcome and Severity Scale) et EAT-10 (auto-questionnaire). Les essais ont été réalisés à domicile, dans des conditions calmes, en présence du patient et de son épouse. L’examen clinique a porté sur la sphère oro-faciale, la coordination des praxies, les différentes phases de la déglutition, ainsi que le comportement alimentaire et les textures tolérées.</w:t>
      </w:r>
    </w:p>
    <w:p>
      <w:pPr>
        <w:spacing w:after="160" w:before="280"/>
      </w:pPr>
      <w:r>
        <w:rPr>
          <w:rFonts w:ascii="Cambria" w:cs="Cambria" w:eastAsia="Cambria" w:hAnsi="Cambria"/>
          <w:b/>
          <w:bCs/>
          <w:color w:val="6D28D9"/>
          <w:sz w:val="26"/>
          <w:szCs w:val="26"/>
        </w:rPr>
        <w:t xml:space="preserve">Praxies oro-linguales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linguales côté gauche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Préservées (protraction, latéralisation, élévation, mouvements alternés)</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linguales côté droit</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Motricité ralentie, latéralisation incomplète, élévation faible, perte de précision</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Sensibilité hémifaciale droite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Diminution objectivable au test du coton</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État dentaire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Prothèse complète supérieure, denture inférieure partiellement édentée</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L’examen des praxies oro-linguales met en évidence une asymétrie droite-gauche marquée, avec une motricité linguale droite nettement déficitaire (ralentissement, latéralisation incomplète, élévation faible), contrastant avec un fonctionnement préservé à gauche. La sensibilité hémifaciale droite est diminuée, ce qui peut majorer les difficultés de contrôle du bol alimentaire. L’état dentaire, bien que compensé par une prothèse supérieure stable, présente une fragilité du fait de l’édentation partielle inférieure.</w:t>
      </w:r>
    </w:p>
    <w:p>
      <w:pPr>
        <w:spacing w:after="160" w:before="280"/>
      </w:pPr>
      <w:r>
        <w:rPr>
          <w:rFonts w:ascii="Cambria" w:cs="Cambria" w:eastAsia="Cambria" w:hAnsi="Cambria"/>
          <w:b/>
          <w:bCs/>
          <w:color w:val="6D28D9"/>
          <w:sz w:val="26"/>
          <w:szCs w:val="26"/>
        </w:rPr>
        <w:t xml:space="preserve">Phase orale de déglutition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Préhension alimentaire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Correcte (utilisation main gauche, adaptation à la déficience droite)</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Mastication</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Préparation du bol ralentie, mastication fragmentaire, mobilisation hémi-langue gauche prédominante</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Continence labiale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Conservée, pas de fuite antérieure</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Propulsion linguale postérieure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Réduite côté droit</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Transit oral</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Allongé (5-7 secondes pour les solides)</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Stase orale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Pas de stase prolongée, pas de fuite postérieure prématurée</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phase orale de déglutition est marquée par une lenteur globale, une mastication fragmentaire et une mobilisation prédominante de l’hémi-langue gauche, la droite étant peu contributive. Le transit oral est significativement allongé, en particulier pour les solides, ce qui expose à des résidus alimentaires et à une fatigue accrue lors des repas. La continence labiale reste bien assurée, limitant les risques de fuite antérieure.</w:t>
      </w:r>
    </w:p>
    <w:p>
      <w:pPr>
        <w:spacing w:after="160" w:before="280"/>
      </w:pPr>
      <w:r>
        <w:rPr>
          <w:rFonts w:ascii="Cambria" w:cs="Cambria" w:eastAsia="Cambria" w:hAnsi="Cambria"/>
          <w:b/>
          <w:bCs/>
          <w:color w:val="6D28D9"/>
          <w:sz w:val="26"/>
          <w:szCs w:val="26"/>
        </w:rPr>
        <w:t xml:space="preserve">Phase pharyngée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Déclenchement du réflexe de déglutition</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Retardé (latence 2-3 secondes)</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Élévation laryngée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Diminuée à la palpation cervicale antérieure</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Toux protectrice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Présente après déglutition de liquides clairs</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 (protection partielle)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Voix post-déglutition</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Voix mouillée audible après liquides clairs, persistante 30-60 secondes</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Régurgitation nasale / bavage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Non observés</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La phase pharyngée présente un retard significatif du déclenchement du réflexe de déglutition et une élévation laryngée diminuée, augmentant le risque de pénétration laryngée, notamment pour les liquides clairs. La toux protectrice reste présente, limitant le risque d’aspiration silencieuse, mais la persistance d’une voix mouillée après déglutition témoigne d’une pénétration laryngée persistante. Aucun signe de régurgitation nasale ni de bavage n’a été relevé.</w:t>
      </w:r>
    </w:p>
    <w:p>
      <w:pPr>
        <w:spacing w:after="160" w:before="280"/>
      </w:pPr>
      <w:r>
        <w:rPr>
          <w:rFonts w:ascii="Cambria" w:cs="Cambria" w:eastAsia="Cambria" w:hAnsi="Cambria"/>
          <w:b/>
          <w:bCs/>
          <w:color w:val="6D28D9"/>
          <w:sz w:val="26"/>
          <w:szCs w:val="26"/>
        </w:rPr>
        <w:t xml:space="preserve">Oralité alimentaire et textures acceptées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Textures solides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Haché-mixé recommandé, mastication limitée</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Liquides clairs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Fausses routes, pénétration laryngée</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sévère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Liquides épaissis (nectar)</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Sécurité assurée, efficacité limitée (résidus oraux)</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Pudding</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Sécurité et efficacité satisfaisantes</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Volume maximal par bouchée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10 ml recommandé</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 patient tolère les textures hachées et mixées, ainsi que les liquides épaissis de type nectar, avec une sécurité satisfaisante mais une efficacité parfois limitée par la présence de résidus oraux. Les liquides clairs restent contre-indiqués en raison du risque élevé de fausses routes. Les textures pudding sont bien tolérées. Le volume maximal recommandé par bouchée est limité à 10 ml pour garantir la sécurité.</w:t>
      </w:r>
    </w:p>
    <w:p>
      <w:pPr>
        <w:spacing w:after="160" w:before="280"/>
      </w:pPr>
      <w:r>
        <w:rPr>
          <w:rFonts w:ascii="Cambria" w:cs="Cambria" w:eastAsia="Cambria" w:hAnsi="Cambria"/>
          <w:b/>
          <w:bCs/>
          <w:color w:val="6D28D9"/>
          <w:sz w:val="26"/>
          <w:szCs w:val="26"/>
        </w:rPr>
        <w:t xml:space="preserve">Comportement à l'alimentation</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Durée des repas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Allongée (1h-1h30 vs 30-40 min avant AVC)</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Fatigue post-prandiale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Notable après chaque repas</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Anxiété lors des repas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Peur d’avaler de travers, évitement social</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Perte de poids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4 kg en 6 semaines</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Qualité de vie alimentaire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Plaintes sur le goût, insatisfaction</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 comportement alimentaire est profondément modifié, avec un allongement marqué de la durée des repas, une fatigue notable, une anxiété importante liée à la peur des fausses routes, et une tendance à l’évitement social lors des repas. La perte de poids récente et les plaintes sur la qualité gustative des aliments témoignent d’un retentissement fonctionnel et psychologique significatif.</w:t>
      </w:r>
    </w:p>
    <w:p>
      <w:pPr>
        <w:spacing w:after="220" w:before="360"/>
      </w:pPr>
      <w:r>
        <w:rPr>
          <w:rFonts w:ascii="Cambria" w:cs="Cambria" w:eastAsia="Cambria" w:hAnsi="Cambria"/>
          <w:b/>
          <w:bCs/>
          <w:color w:val="6D28D9"/>
          <w:sz w:val="30"/>
          <w:szCs w:val="30"/>
        </w:rPr>
        <w:t xml:space="preserve">Synthèse par domaine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200"/>
        <w:gridCol w:w="3982"/>
        <w:gridCol w:w="2564"/>
      </w:tblGrid>
      <w:tr>
        <w:trPr>
          <w:tblHeader/>
        </w:trPr>
        <w:tc>
          <w:tcPr>
            <w:tcW w:type="dxa" w:w="320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AXE CLINIQUE</w:t>
            </w:r>
          </w:p>
        </w:tc>
        <w:tc>
          <w:tcPr>
            <w:tcW w:type="dxa" w:w="3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CONSTAT PRINCIPAL</w:t>
            </w:r>
          </w:p>
        </w:tc>
        <w:tc>
          <w:tcPr>
            <w:tcW w:type="dxa" w:w="2564"/>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SÉVÉRITÉ</w:t>
            </w:r>
          </w:p>
        </w:tc>
      </w:tr>
      <w:tr>
        <w:trPr>
          <w:cantSplit/>
        </w:trPr>
        <w:tc>
          <w:tcPr>
            <w:tcW w:type="dxa" w:w="32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oro-linguales</w:t>
            </w:r>
          </w:p>
        </w:tc>
        <w:tc>
          <w:tcPr>
            <w:tcW w:type="dxa" w:w="3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Asymétrie droite-gauche, déficit lingual droit</w:t>
            </w:r>
          </w:p>
        </w:tc>
        <w:tc>
          <w:tcPr>
            <w:tcW w:type="dxa" w:w="256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rPr>
          <w:cantSplit/>
        </w:trPr>
        <w:tc>
          <w:tcPr>
            <w:tcW w:type="dxa" w:w="32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Phase orale de déglutition</w:t>
            </w:r>
          </w:p>
        </w:tc>
        <w:tc>
          <w:tcPr>
            <w:tcW w:type="dxa" w:w="3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Mastication fragmentaire, transit oral allongé</w:t>
            </w:r>
          </w:p>
        </w:tc>
        <w:tc>
          <w:tcPr>
            <w:tcW w:type="dxa" w:w="256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rPr>
          <w:cantSplit/>
        </w:trPr>
        <w:tc>
          <w:tcPr>
            <w:tcW w:type="dxa" w:w="32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Phase pharyngée</w:t>
            </w:r>
          </w:p>
        </w:tc>
        <w:tc>
          <w:tcPr>
            <w:tcW w:type="dxa" w:w="3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Retard réflexe, élévation laryngée diminuée</w:t>
            </w:r>
          </w:p>
        </w:tc>
        <w:tc>
          <w:tcPr>
            <w:tcW w:type="dxa" w:w="256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rPr>
          <w:cantSplit/>
        </w:trPr>
        <w:tc>
          <w:tcPr>
            <w:tcW w:type="dxa" w:w="32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Oralité alimentaire et textures</w:t>
            </w:r>
          </w:p>
        </w:tc>
        <w:tc>
          <w:tcPr>
            <w:tcW w:type="dxa" w:w="3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Liquides clairs contre-indiqués, nectar/pudding tolérés</w:t>
            </w:r>
          </w:p>
        </w:tc>
        <w:tc>
          <w:tcPr>
            <w:tcW w:type="dxa" w:w="2564"/>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Sévère</w:t>
            </w:r>
          </w:p>
        </w:tc>
      </w:tr>
      <w:tr>
        <w:trPr>
          <w:cantSplit/>
        </w:trPr>
        <w:tc>
          <w:tcPr>
            <w:tcW w:type="dxa" w:w="32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Comportement à l’alimentation</w:t>
            </w:r>
          </w:p>
        </w:tc>
        <w:tc>
          <w:tcPr>
            <w:tcW w:type="dxa" w:w="3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Durée des repas allongée, perte de poids</w:t>
            </w:r>
          </w:p>
        </w:tc>
        <w:tc>
          <w:tcPr>
            <w:tcW w:type="dxa" w:w="256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bl>
    <w:p>
      <w:pPr>
        <w:spacing w:after="220" w:before="360"/>
      </w:pPr>
      <w:r>
        <w:rPr>
          <w:rFonts w:ascii="Cambria" w:cs="Cambria" w:eastAsia="Cambria" w:hAnsi="Cambria"/>
          <w:b/>
          <w:bCs/>
          <w:color w:val="6D28D9"/>
          <w:sz w:val="30"/>
          <w:szCs w:val="30"/>
        </w:rPr>
        <w:t xml:space="preserve">Observations qualitatives</w:t>
      </w:r>
    </w:p>
    <w:p>
      <w:pPr>
        <w:pStyle w:val="ListParagraph"/>
        <w:numPr>
          <w:ilvl w:val="0"/>
          <w:numId w:val="2"/>
        </w:numPr>
        <w:spacing w:after="100" w:before="60" w:line="320"/>
      </w:pPr>
      <w:r>
        <w:rPr>
          <w:rFonts w:ascii="Calibri" w:cs="Calibri" w:eastAsia="Calibri" w:hAnsi="Calibri"/>
          <w:b/>
          <w:bCs/>
          <w:color w:val="1F2937"/>
          <w:sz w:val="22"/>
          <w:szCs w:val="22"/>
        </w:rPr>
        <w:t xml:space="preserve">Praxies oro-linguales :</w:t>
      </w:r>
      <w:r>
        <w:rPr>
          <w:rFonts w:ascii="Calibri" w:cs="Calibri" w:eastAsia="Calibri" w:hAnsi="Calibri"/>
          <w:color w:val="1F2937"/>
          <w:sz w:val="22"/>
          <w:szCs w:val="22"/>
        </w:rPr>
        <w:t xml:space="preserve"> « Asymétrie droite-gauche notable. Côté gauche : praxies linguales et labiales préservées (protraction, latéralisation, élévation, mouvements alternés). Côté droit : motricité linguale ralentie, latéralisation droite incomplète, élévation linguale faible, perte de précision. Sensibilité hémifaciale droite diminuée (objectivable au test du coton). »</w:t>
      </w:r>
    </w:p>
    <w:p>
      <w:pPr>
        <w:pStyle w:val="ListParagraph"/>
        <w:numPr>
          <w:ilvl w:val="0"/>
          <w:numId w:val="2"/>
        </w:numPr>
        <w:spacing w:after="100" w:before="60" w:line="320"/>
      </w:pPr>
      <w:r>
        <w:rPr>
          <w:rFonts w:ascii="Calibri" w:cs="Calibri" w:eastAsia="Calibri" w:hAnsi="Calibri"/>
          <w:b/>
          <w:bCs/>
          <w:color w:val="1F2937"/>
          <w:sz w:val="22"/>
          <w:szCs w:val="22"/>
        </w:rPr>
        <w:t xml:space="preserve">Phase orale (mastication, propulsion) :</w:t>
      </w:r>
      <w:r>
        <w:rPr>
          <w:rFonts w:ascii="Calibri" w:cs="Calibri" w:eastAsia="Calibri" w:hAnsi="Calibri"/>
          <w:color w:val="1F2937"/>
          <w:sz w:val="22"/>
          <w:szCs w:val="22"/>
        </w:rPr>
        <w:t xml:space="preserve"> « Préparation du bol alimentaire (mastication) ralentie, fragmentaire, lenteur globale. La mastication mobilise principalement l’hémi-langue gauche, l’hémi-langue droite n’apporte pas son concours en mobilisation transversale, ce qui rallonge la durée de préparation et conduit à des résidus alimentaires dispersés en cavité buccale. Propulsion linguale postérieure réduite côté droit. Transit oral allongé (mesuré à 5-7 secondes pour les solides, vs 1-2 secondes en norme). »</w:t>
      </w:r>
    </w:p>
    <w:p>
      <w:pPr>
        <w:pStyle w:val="ListParagraph"/>
        <w:numPr>
          <w:ilvl w:val="0"/>
          <w:numId w:val="2"/>
        </w:numPr>
        <w:spacing w:after="100" w:before="60" w:line="320"/>
      </w:pPr>
      <w:r>
        <w:rPr>
          <w:rFonts w:ascii="Calibri" w:cs="Calibri" w:eastAsia="Calibri" w:hAnsi="Calibri"/>
          <w:b/>
          <w:bCs/>
          <w:color w:val="1F2937"/>
          <w:sz w:val="22"/>
          <w:szCs w:val="22"/>
        </w:rPr>
        <w:t xml:space="preserve">Phase pharyngée :</w:t>
      </w:r>
      <w:r>
        <w:rPr>
          <w:rFonts w:ascii="Calibri" w:cs="Calibri" w:eastAsia="Calibri" w:hAnsi="Calibri"/>
          <w:color w:val="1F2937"/>
          <w:sz w:val="22"/>
          <w:szCs w:val="22"/>
        </w:rPr>
        <w:t xml:space="preserve"> « Déclenchement du réflexe de déglutition retardé (latence estimée à 2-3 secondes après l’arrivée du bol au niveau du palais mou, vs &lt;1 seconde en norme). Élévation laryngée diminuée à la palpation cervicale antérieure. Toux protectrice présente après déglutition de liquides clairs, signe d’une pénétration laryngée probable. Voix mouillée (‘wet voice’) audible après déglutition de petits volumes de liquide clair, persistante 30-60 secondes. »</w:t>
      </w:r>
    </w:p>
    <w:p>
      <w:pPr>
        <w:pStyle w:val="ListParagraph"/>
        <w:numPr>
          <w:ilvl w:val="0"/>
          <w:numId w:val="2"/>
        </w:numPr>
        <w:spacing w:after="100" w:before="60" w:line="320"/>
      </w:pPr>
      <w:r>
        <w:rPr>
          <w:rFonts w:ascii="Calibri" w:cs="Calibri" w:eastAsia="Calibri" w:hAnsi="Calibri"/>
          <w:b/>
          <w:bCs/>
          <w:color w:val="1F2937"/>
          <w:sz w:val="22"/>
          <w:szCs w:val="22"/>
        </w:rPr>
        <w:t xml:space="preserve">Oralité alimentaire et textures tolérées :</w:t>
      </w:r>
      <w:r>
        <w:rPr>
          <w:rFonts w:ascii="Calibri" w:cs="Calibri" w:eastAsia="Calibri" w:hAnsi="Calibri"/>
          <w:color w:val="1F2937"/>
          <w:sz w:val="22"/>
          <w:szCs w:val="22"/>
        </w:rPr>
        <w:t xml:space="preserve"> « Régime alimentaire à la sortie : haché-mixé, liquides épaissis nectar. Viscosité minimale sûre = nectar ; consistance optimale = pudding ; volume maximal recommandé = 10 ml par bouchée. Les liquides clairs restent contre-indiqués. »</w:t>
      </w:r>
    </w:p>
    <w:p>
      <w:pPr>
        <w:pStyle w:val="ListParagraph"/>
        <w:numPr>
          <w:ilvl w:val="0"/>
          <w:numId w:val="2"/>
        </w:numPr>
        <w:spacing w:after="100" w:before="60" w:line="320"/>
      </w:pPr>
      <w:r>
        <w:rPr>
          <w:rFonts w:ascii="Calibri" w:cs="Calibri" w:eastAsia="Calibri" w:hAnsi="Calibri"/>
          <w:b/>
          <w:bCs/>
          <w:color w:val="1F2937"/>
          <w:sz w:val="22"/>
          <w:szCs w:val="22"/>
        </w:rPr>
        <w:t xml:space="preserve">Comportement à l'alimentation :</w:t>
      </w:r>
      <w:r>
        <w:rPr>
          <w:rFonts w:ascii="Calibri" w:cs="Calibri" w:eastAsia="Calibri" w:hAnsi="Calibri"/>
          <w:color w:val="1F2937"/>
          <w:sz w:val="22"/>
          <w:szCs w:val="22"/>
        </w:rPr>
        <w:t xml:space="preserve"> « Perte de poids de 4 kg en 6 semaines (de 78 à 74 kg, IMC actuel 24). Allongement de la durée des repas (1h-1h30 par repas selon Mme, vs 30-40 min avant l’AVC), évitement social des repas hors domicile, plainte de mauvaise qualité de vie alimentaire. »</w:t>
      </w:r>
    </w:p>
    <w:p>
      <w:pPr>
        <w:pStyle w:val="ListParagraph"/>
        <w:numPr>
          <w:ilvl w:val="0"/>
          <w:numId w:val="2"/>
        </w:numPr>
        <w:spacing w:after="100" w:before="60" w:line="320"/>
      </w:pPr>
      <w:r>
        <w:rPr>
          <w:rFonts w:ascii="Calibri" w:cs="Calibri" w:eastAsia="Calibri" w:hAnsi="Calibri"/>
          <w:b/>
          <w:bCs/>
          <w:color w:val="1F2937"/>
          <w:sz w:val="22"/>
          <w:szCs w:val="22"/>
        </w:rPr>
        <w:t xml:space="preserve">Stratégies de protection :</w:t>
      </w:r>
      <w:r>
        <w:rPr>
          <w:rFonts w:ascii="Calibri" w:cs="Calibri" w:eastAsia="Calibri" w:hAnsi="Calibri"/>
          <w:color w:val="1F2937"/>
          <w:sz w:val="22"/>
          <w:szCs w:val="22"/>
        </w:rPr>
        <w:t xml:space="preserve"> « Toux protectrice présente après déglutition de liquides clairs, pas d’aspiration silencieuse objectivée à ce jour, pas d’épisode de pneumopathie d’inhalation. »</w:t>
      </w:r>
    </w:p>
    <w:p>
      <w:pPr>
        <w:spacing w:after="220" w:before="360"/>
      </w:pPr>
      <w:r>
        <w:rPr>
          <w:rFonts w:ascii="Cambria" w:cs="Cambria" w:eastAsia="Cambria" w:hAnsi="Cambria"/>
          <w:b/>
          <w:bCs/>
          <w:color w:val="6D28D9"/>
          <w:sz w:val="30"/>
          <w:szCs w:val="30"/>
        </w:rPr>
        <w:t xml:space="preserve">Diagnostic orthophonique</w:t>
      </w:r>
    </w:p>
    <w:p>
      <w:pPr>
        <w:spacing w:after="200" w:before="0" w:line="320"/>
      </w:pPr>
      <w:r>
        <w:rPr>
          <w:rFonts w:ascii="Calibri" w:cs="Calibri" w:eastAsia="Calibri" w:hAnsi="Calibri"/>
          <w:color w:val="1F2937"/>
          <w:sz w:val="22"/>
          <w:szCs w:val="22"/>
        </w:rPr>
        <w:t xml:space="preserve">Le profil clinique et les résultats des échelles standardisées sont en faveur d’une dysphagie oro-pharyngée d’origine neurologique post-AVC sylvien gauche, de sévérité modérée. L’atteinte est mixte, intéressant à la fois la phase orale (lenteur, asymétrie linguale droite, mastication fragmentaire, transit allongé) et la phase pharyngée (retard du réflexe de déglutition, élévation laryngée diminuée, pénétration laryngée aux liquides clairs).</w:t>
      </w:r>
    </w:p>
    <w:p>
      <w:pPr>
        <w:spacing w:after="200" w:before="0" w:line="320"/>
      </w:pPr>
      <w:r>
        <w:rPr>
          <w:rFonts w:ascii="Calibri" w:cs="Calibri" w:eastAsia="Calibri" w:hAnsi="Calibri"/>
          <w:color w:val="1F2937"/>
          <w:sz w:val="22"/>
          <w:szCs w:val="22"/>
        </w:rPr>
        <w:t xml:space="preserve">Les conséquences fonctionnelles sont majeures : perte de poids rapide, allongement de la durée des repas, évitement social, anxiété à l’alimentation, et nécessité de modifications texturales strictes. Le risque de complications (fausses routes, dénutrition, pneumopathie d’inhalation) impose une vigilance accrue, même si la toux protectrice demeure présente et efficace à ce stade.</w:t>
      </w:r>
    </w:p>
    <w:p>
      <w:pPr>
        <w:spacing w:after="200" w:before="0" w:line="320"/>
      </w:pPr>
      <w:r>
        <w:rPr>
          <w:rFonts w:ascii="Calibri" w:cs="Calibri" w:eastAsia="Calibri" w:hAnsi="Calibri"/>
          <w:color w:val="1F2937"/>
          <w:sz w:val="22"/>
          <w:szCs w:val="22"/>
        </w:rPr>
        <w:t xml:space="preserve">L’étiologie est directement liée à l’AVC sylvien gauche, avec une évolution favorable attendue sous rééducation soutenue. Aucun signe d’aspiration silencieuse n’a été objectivé, et l’état nutritionnel doit être surveillé en lien avec le médecin traitant.</w:t>
      </w:r>
    </w:p>
    <w:p>
      <w:pPr>
        <w:spacing w:after="220" w:before="360"/>
      </w:pPr>
      <w:r>
        <w:rPr>
          <w:rFonts w:ascii="Cambria" w:cs="Cambria" w:eastAsia="Cambria" w:hAnsi="Cambria"/>
          <w:b/>
          <w:bCs/>
          <w:color w:val="6D28D9"/>
          <w:sz w:val="30"/>
          <w:szCs w:val="30"/>
        </w:rPr>
        <w:t xml:space="preserve">Projet thérapeutique</w:t>
      </w:r>
    </w:p>
    <w:p>
      <w:pPr>
        <w:spacing w:after="200" w:before="0" w:line="320"/>
      </w:pPr>
      <w:r>
        <w:rPr>
          <w:rFonts w:ascii="Calibri" w:cs="Calibri" w:eastAsia="Calibri" w:hAnsi="Calibri"/>
          <w:color w:val="1F2937"/>
          <w:sz w:val="22"/>
          <w:szCs w:val="22"/>
        </w:rPr>
        <w:t xml:space="preserve">La prise en charge orthophonique s’inscrit dans le cadre d’une dysphagie oro-pharyngée post-AVC de sévérité modérée, avec retentissement nutritionnel, social et psychologique significatif. L’approche sera pluridimensionnelle, centrée sur la récupération des praxies oro-linguales, l’amélioration de l’efficacité et de la sécurité de la déglutition, la réadaptation alimentaire et le soutien psycho-social.</w:t>
      </w:r>
    </w:p>
    <w:p>
      <w:pPr>
        <w:pStyle w:val="ListParagraph"/>
        <w:numPr>
          <w:ilvl w:val="0"/>
          <w:numId w:val="2"/>
        </w:numPr>
        <w:spacing w:after="100" w:before="60" w:line="320"/>
      </w:pPr>
      <w:r>
        <w:rPr>
          <w:rFonts w:ascii="Calibri" w:cs="Calibri" w:eastAsia="Calibri" w:hAnsi="Calibri"/>
          <w:b/>
          <w:bCs/>
          <w:color w:val="1F2937"/>
          <w:sz w:val="22"/>
          <w:szCs w:val="22"/>
        </w:rPr>
        <w:t xml:space="preserve">Restauration des praxies oro-linguales :</w:t>
      </w:r>
      <w:r>
        <w:rPr>
          <w:rFonts w:ascii="Calibri" w:cs="Calibri" w:eastAsia="Calibri" w:hAnsi="Calibri"/>
          <w:color w:val="1F2937"/>
          <w:sz w:val="22"/>
          <w:szCs w:val="22"/>
        </w:rPr>
        <w:t xml:space="preserve"> Travail ciblé sur la motricité linguale droite, la coordination labio-linguale et la stimulation sensorielle oro-faciale.</w:t>
      </w:r>
    </w:p>
    <w:p>
      <w:pPr>
        <w:pStyle w:val="ListParagraph"/>
        <w:numPr>
          <w:ilvl w:val="0"/>
          <w:numId w:val="2"/>
        </w:numPr>
        <w:spacing w:after="100" w:before="60" w:line="320"/>
      </w:pPr>
      <w:r>
        <w:rPr>
          <w:rFonts w:ascii="Calibri" w:cs="Calibri" w:eastAsia="Calibri" w:hAnsi="Calibri"/>
          <w:b/>
          <w:bCs/>
          <w:color w:val="1F2937"/>
          <w:sz w:val="22"/>
          <w:szCs w:val="22"/>
        </w:rPr>
        <w:t xml:space="preserve">Optimisation de la phase orale :</w:t>
      </w:r>
      <w:r>
        <w:rPr>
          <w:rFonts w:ascii="Calibri" w:cs="Calibri" w:eastAsia="Calibri" w:hAnsi="Calibri"/>
          <w:color w:val="1F2937"/>
          <w:sz w:val="22"/>
          <w:szCs w:val="22"/>
        </w:rPr>
        <w:t xml:space="preserve"> Exercices de mastication, renforcement de la propulsion linguale, adaptation des stratégies de préparation du bol alimentaire.</w:t>
      </w:r>
    </w:p>
    <w:p>
      <w:pPr>
        <w:pStyle w:val="ListParagraph"/>
        <w:numPr>
          <w:ilvl w:val="0"/>
          <w:numId w:val="2"/>
        </w:numPr>
        <w:spacing w:after="100" w:before="60" w:line="320"/>
      </w:pPr>
      <w:r>
        <w:rPr>
          <w:rFonts w:ascii="Calibri" w:cs="Calibri" w:eastAsia="Calibri" w:hAnsi="Calibri"/>
          <w:b/>
          <w:bCs/>
          <w:color w:val="1F2937"/>
          <w:sz w:val="22"/>
          <w:szCs w:val="22"/>
        </w:rPr>
        <w:t xml:space="preserve">Amélioration de la phase pharyngée :</w:t>
      </w:r>
      <w:r>
        <w:rPr>
          <w:rFonts w:ascii="Calibri" w:cs="Calibri" w:eastAsia="Calibri" w:hAnsi="Calibri"/>
          <w:color w:val="1F2937"/>
          <w:sz w:val="22"/>
          <w:szCs w:val="22"/>
        </w:rPr>
        <w:t xml:space="preserve"> Techniques de déclenchement du réflexe de déglutition, entraînement à l’élévation laryngée, renforcement des stratégies de protection des voies aériennes.</w:t>
      </w:r>
    </w:p>
    <w:p>
      <w:pPr>
        <w:pStyle w:val="ListParagraph"/>
        <w:numPr>
          <w:ilvl w:val="0"/>
          <w:numId w:val="2"/>
        </w:numPr>
        <w:spacing w:after="100" w:before="60" w:line="320"/>
      </w:pPr>
      <w:r>
        <w:rPr>
          <w:rFonts w:ascii="Calibri" w:cs="Calibri" w:eastAsia="Calibri" w:hAnsi="Calibri"/>
          <w:b/>
          <w:bCs/>
          <w:color w:val="1F2937"/>
          <w:sz w:val="22"/>
          <w:szCs w:val="22"/>
        </w:rPr>
        <w:t xml:space="preserve">Accompagnement à l’adaptation alimentaire :</w:t>
      </w:r>
      <w:r>
        <w:rPr>
          <w:rFonts w:ascii="Calibri" w:cs="Calibri" w:eastAsia="Calibri" w:hAnsi="Calibri"/>
          <w:color w:val="1F2937"/>
          <w:sz w:val="22"/>
          <w:szCs w:val="22"/>
        </w:rPr>
        <w:t xml:space="preserve"> Éducation thérapeutique sur les textures et volumes sécurisés, conseils pour la gestion des repas, maintien du régime épaissi et haché-mixé.</w:t>
      </w:r>
    </w:p>
    <w:p>
      <w:pPr>
        <w:pStyle w:val="ListParagraph"/>
        <w:numPr>
          <w:ilvl w:val="0"/>
          <w:numId w:val="2"/>
        </w:numPr>
        <w:spacing w:after="100" w:before="60" w:line="320"/>
      </w:pPr>
      <w:r>
        <w:rPr>
          <w:rFonts w:ascii="Calibri" w:cs="Calibri" w:eastAsia="Calibri" w:hAnsi="Calibri"/>
          <w:b/>
          <w:bCs/>
          <w:color w:val="1F2937"/>
          <w:sz w:val="22"/>
          <w:szCs w:val="22"/>
        </w:rPr>
        <w:t xml:space="preserve">Prévention des complications et suivi nutritionnel :</w:t>
      </w:r>
      <w:r>
        <w:rPr>
          <w:rFonts w:ascii="Calibri" w:cs="Calibri" w:eastAsia="Calibri" w:hAnsi="Calibri"/>
          <w:color w:val="1F2937"/>
          <w:sz w:val="22"/>
          <w:szCs w:val="22"/>
        </w:rPr>
        <w:t xml:space="preserve"> Surveillance du poids, dépistage des signes de dénutrition, coordination régulière avec le médecin traitant.</w:t>
      </w:r>
    </w:p>
    <w:p>
      <w:pPr>
        <w:pStyle w:val="ListParagraph"/>
        <w:numPr>
          <w:ilvl w:val="0"/>
          <w:numId w:val="2"/>
        </w:numPr>
        <w:spacing w:after="100" w:before="60" w:line="320"/>
      </w:pPr>
      <w:r>
        <w:rPr>
          <w:rFonts w:ascii="Calibri" w:cs="Calibri" w:eastAsia="Calibri" w:hAnsi="Calibri"/>
          <w:b/>
          <w:bCs/>
          <w:color w:val="1F2937"/>
          <w:sz w:val="22"/>
          <w:szCs w:val="22"/>
        </w:rPr>
        <w:t xml:space="preserve">Soutien psycho-social :</w:t>
      </w:r>
      <w:r>
        <w:rPr>
          <w:rFonts w:ascii="Calibri" w:cs="Calibri" w:eastAsia="Calibri" w:hAnsi="Calibri"/>
          <w:color w:val="1F2937"/>
          <w:sz w:val="22"/>
          <w:szCs w:val="22"/>
        </w:rPr>
        <w:t xml:space="preserve"> Travail sur l’anxiété alimentaire, accompagnement à la reprise progressive des repas en contexte social sécurisé.</w:t>
      </w:r>
    </w:p>
    <w:p>
      <w:pPr>
        <w:spacing w:after="120" w:before="0"/>
      </w:pPr>
      <w:r>
        <w:t xml:space="preserve"/>
      </w:r>
    </w:p>
    <w:p>
      <w:pPr>
        <w:spacing w:after="200" w:before="0" w:line="320"/>
      </w:pPr>
      <w:r>
        <w:rPr>
          <w:rFonts w:ascii="Calibri" w:cs="Calibri" w:eastAsia="Calibri" w:hAnsi="Calibri"/>
          <w:color w:val="1F2937"/>
          <w:sz w:val="22"/>
          <w:szCs w:val="22"/>
        </w:rPr>
        <w:t xml:space="preserve">La fréquence recommandée est de 2 à 3 séances hebdomadaires, avec une durée minimale de 3 à 6 mois selon l’évolution. Un contrôle clinique mensuel est préconisé, ainsi qu’une réévaluation complète à 3 mois. La prescription médicale mentionne la poursuite de la prise en charge en libéral ; le nombre de séances et le code AMO seront précisés lors de l’élaboration du plan de soins en accord avec le médecin traitant.</w:t>
      </w:r>
    </w:p>
    <w:p>
      <w:pPr>
        <w:keepNext/>
        <w:keepLines/>
        <w:pBdr>
          <w:bottom w:val="single" w:color="6D28D9" w:sz="12" w:space="1"/>
        </w:pBdr>
        <w:spacing w:after="200" w:before="400"/>
      </w:pPr>
      <w:r>
        <w:t xml:space="preserve"/>
      </w:r>
    </w:p>
    <w:p>
      <w:pPr>
        <w:keepNext/>
        <w:keepLines/>
        <w:spacing w:after="60" w:before="0"/>
        <w:jc w:val="right"/>
      </w:pPr>
      <w:r>
        <w:rPr>
          <w:rFonts w:ascii="Cambria" w:cs="Cambria" w:eastAsia="Cambria" w:hAnsi="Cambria"/>
          <w:b/>
          <w:bCs/>
          <w:color w:val="1F2937"/>
          <w:sz w:val="26"/>
          <w:szCs w:val="26"/>
        </w:rPr>
        <w:t xml:space="preserve">Marie Dupond</w:t>
      </w:r>
    </w:p>
    <w:p>
      <w:pPr>
        <w:keepNext/>
        <w:keepLines/>
        <w:spacing w:after="140" w:before="0"/>
        <w:jc w:val="right"/>
      </w:pPr>
      <w:r>
        <w:rPr>
          <w:rFonts w:ascii="Calibri" w:cs="Calibri" w:eastAsia="Calibri" w:hAnsi="Calibri"/>
          <w:color w:val="6B7280"/>
          <w:sz w:val="20"/>
          <w:szCs w:val="20"/>
        </w:rPr>
        <w:t xml:space="preserve">Orthophoniste</w:t>
      </w:r>
    </w:p>
    <w:p>
      <w:pPr>
        <w:keepNext/>
        <w:keepLines/>
        <w:spacing w:after="100" w:before="0"/>
        <w:jc w:val="right"/>
      </w:pPr>
      <w:r>
        <w:rPr>
          <w:rFonts w:ascii="Calibri" w:cs="Calibri" w:eastAsia="Calibri" w:hAnsi="Calibri"/>
          <w:i/>
          <w:iCs/>
          <w:color w:val="6B7280"/>
          <w:sz w:val="20"/>
          <w:szCs w:val="20"/>
        </w:rPr>
        <w:t xml:space="preserve">[Signature]</w:t>
      </w:r>
    </w:p>
    <w:p>
      <w:pPr>
        <w:keepLines/>
        <w:spacing w:after="0" w:before="240"/>
        <w:jc w:val="right"/>
      </w:pPr>
      <w:r>
        <w:rPr>
          <w:rFonts w:ascii="Calibri" w:cs="Calibri" w:eastAsia="Calibri" w:hAnsi="Calibri"/>
          <w:color w:val="6B7280"/>
          <w:sz w:val="18"/>
          <w:szCs w:val="18"/>
        </w:rPr>
        <w:t xml:space="preserve">ADELI 7512637434</w:t>
      </w:r>
    </w:p>
    <w:sectPr>
      <w:headerReference w:type="default" r:id="rId7"/>
      <w:headerReference w:type="first" r:id="rId8"/>
      <w:footerReference w:type="default" r:id="rId9"/>
      <w:footerReference w:type="first" r:id="rId10"/>
      <w:pgSz w:w="11906" w:h="16838" w:orient="portrait"/>
      <w:pgMar w:top="900" w:right="1080" w:bottom="900" w:left="1080" w:header="600" w:footer="600"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right"/>
    </w:pPr>
    <w:r>
      <w:rPr>
        <w:rFonts w:ascii="Calibri" w:cs="Calibri" w:eastAsia="Calibri" w:hAnsi="Calibri"/>
        <w:color w:val="9CA3AF"/>
        <w:sz w:val="18"/>
        <w:szCs w:val="18"/>
      </w:rPr>
      <w:t xml:space="preserve">Robert Eymard — 2 mai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1F293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CRBO Robert Eymard — Déglutition</dc:title>
  <dc:creator>Orthonie</dc:creator>
  <dc:description>Compte-rendu de bilan orthophonique — Modèle Orthonie</dc:description>
  <cp:lastModifiedBy>Un-named</cp:lastModifiedBy>
  <cp:revision>1</cp:revision>
  <dcterms:created xsi:type="dcterms:W3CDTF">2026-05-02T18:25:12.191Z</dcterms:created>
  <dcterms:modified xsi:type="dcterms:W3CDTF">2026-05-02T18:25:12.191Z</dcterms:modified>
</cp:coreProperties>
</file>

<file path=docProps/custom.xml><?xml version="1.0" encoding="utf-8"?>
<Properties xmlns="http://schemas.openxmlformats.org/officeDocument/2006/custom-properties" xmlns:vt="http://schemas.openxmlformats.org/officeDocument/2006/docPropsVTypes"/>
</file>