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Emma Falcoz (8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280"/>
        <w:jc w:val="center"/>
      </w:pPr>
      <w:r>
        <w:rPr>
          <w:rFonts w:ascii="Calibri" w:cs="Calibri" w:eastAsia="Calibri" w:hAnsi="Calibri"/>
          <w:color w:val="6B7280"/>
          <w:spacing w:val="30"/>
          <w:sz w:val="20"/>
          <w:szCs w:val="20"/>
        </w:rPr>
        <w:t xml:space="preserve">BILAN INITIAL · BILAN DE LANGAGE ÉCRIT</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Emma</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Féminin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12 mars 2018</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8 ans 2 mois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 : </w:t>
            </w:r>
            <w:r>
              <w:rPr>
                <w:rFonts w:ascii="Calibri" w:cs="Calibri" w:eastAsia="Calibri" w:hAnsi="Calibri"/>
                <w:color w:val="1F2937"/>
                <w:sz w:val="22"/>
                <w:szCs w:val="22"/>
              </w:rPr>
              <w:t xml:space="preserve">CE2</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Vincent Lemaire (médecin scolaire)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Emma, âgée de 8 ans et scolarisée en CE2, a été vue en bilan orthophonique suite à une prescription du Dr Lemaire, médecin scolaire, à la demande conjointe de l’enseignante et des parents. Les motifs d’inquiétude concernent une lecture lente, perçue comme douloureuse, et la persistance d’un nombre élevé d’erreurs orthographiques malgré un travail régulier à la maison. L’entourage rapporte des difficultés croissantes en lecture et écriture depuis le CP, avec un écart qui s’est accentué par rapport aux pairs. Ce bilan vise à explorer une suspicion de trouble du langage écrit.</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Emma est l’aînée d’une fratrie de deux enfants. Aucun antécédent médical notable n’est rapporté. La grossesse et l’accouchement se sont déroulés sans particularité. Les étapes développementales motrices et langagières ont été acquises dans les normes, avec les premiers mots à 13 mois et les premières phrases à 24 mois.</w:t>
      </w:r>
    </w:p>
    <w:p>
      <w:pPr>
        <w:spacing w:after="200" w:before="0" w:line="320"/>
      </w:pPr>
      <w:r>
        <w:rPr>
          <w:rFonts w:ascii="Calibri" w:cs="Calibri" w:eastAsia="Calibri" w:hAnsi="Calibri"/>
          <w:color w:val="1F2937"/>
          <w:sz w:val="22"/>
          <w:szCs w:val="22"/>
        </w:rPr>
        <w:t xml:space="preserve">Emma a bénéficié d’une prise en charge orthophonique entre 6 et 7 ans pour un trouble articulatoire (substitution s/ch, z/j), résolu en une vingtaine de séances ; la prise en charge a été arrêtée en juin 2025. Concernant les antécédents familiaux, le père signale avoir rencontré des difficultés en lecture durant sa scolarité, jamais explorées, tandis que la mère ne rapporte aucune difficulté particulière.</w:t>
      </w:r>
    </w:p>
    <w:p>
      <w:pPr>
        <w:spacing w:after="200" w:before="0" w:line="320"/>
      </w:pPr>
      <w:r>
        <w:rPr>
          <w:rFonts w:ascii="Calibri" w:cs="Calibri" w:eastAsia="Calibri" w:hAnsi="Calibri"/>
          <w:color w:val="1F2937"/>
          <w:sz w:val="22"/>
          <w:szCs w:val="22"/>
        </w:rPr>
        <w:t xml:space="preserve">Sur le plan sensoriel, l’audition a été vérifiée par un ORL en mars 2026 sans anomalie détectée. La vision est contrôlée annuellement par un ophtalmologiste ; Emma porte des lunettes pour une myopie légère avec correction adaptée.</w:t>
      </w:r>
    </w:p>
    <w:p>
      <w:pPr>
        <w:spacing w:after="200" w:before="0" w:line="320"/>
      </w:pPr>
      <w:r>
        <w:rPr>
          <w:rFonts w:ascii="Calibri" w:cs="Calibri" w:eastAsia="Calibri" w:hAnsi="Calibri"/>
          <w:color w:val="1F2937"/>
          <w:sz w:val="22"/>
          <w:szCs w:val="22"/>
        </w:rPr>
        <w:t xml:space="preserve">Sur le plan scolaire, les difficultés en lecture et écriture sont apparues dès le CP et ont été signalées par l’enseignante lors du bilan de fin d’année. Le passage en CE1 s’est fait avec une recommandation de surveillance. En CE1, malgré des efforts soutenus, l’écart s’est accentué : la lecture de Emma est restée lente, hésitante, avec un recours fréquent au devinement contextuel. En CE2, l’orthographe est jugée « très en retard » par l’enseignante, avec de nombreuses erreurs phonologiques inattendues pour l’âge. Les autres apprentissages (mathématiques, expression orale, raisonnement) sont considérés comme satisfaisants.</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Emma s’est présentée accompagnée de sa mère. Elle a montré une bonne coopération tout au long du bilan, avec une attention soutenue et une bonne tolérance à la difficulté. Elle verbalise spontanément ses difficultés en lecture (« c’est dur de lire », « je me trompe tout le temps »), témoignant d’une conscience de ses troubles.</w:t>
      </w:r>
    </w:p>
    <w:p>
      <w:pPr>
        <w:spacing w:after="200" w:before="0" w:line="320"/>
      </w:pPr>
      <w:r>
        <w:rPr>
          <w:rFonts w:ascii="Calibri" w:cs="Calibri" w:eastAsia="Calibri" w:hAnsi="Calibri"/>
          <w:color w:val="1F2937"/>
          <w:sz w:val="22"/>
          <w:szCs w:val="22"/>
        </w:rPr>
        <w:t xml:space="preserve">Une fatigabilité progressive a été notée lors des épreuves de lecture, nécessitant une pause à mi-parcours. Aucun signe d’anxiété majeure n’a été observé ; Emma semble plutôt résignée face à ses difficultés qu’anxieuse. Aucun élément n’évoque un trouble attentionnel associé (TDAH non suspecté).</w:t>
      </w:r>
    </w:p>
    <w:p>
      <w:pPr>
        <w:spacing w:after="220" w:before="360"/>
      </w:pPr>
      <w:r>
        <w:rPr>
          <w:rFonts w:ascii="Cambria" w:cs="Cambria" w:eastAsia="Cambria" w:hAnsi="Cambria"/>
          <w:b/>
          <w:bCs/>
          <w:color w:val="6D28D9"/>
          <w:sz w:val="30"/>
          <w:szCs w:val="30"/>
        </w:rPr>
        <w:t xml:space="preserve">Évaluation du langage écrit</w:t>
      </w:r>
    </w:p>
    <w:p>
      <w:pPr>
        <w:spacing w:after="200" w:before="0" w:line="320"/>
      </w:pPr>
      <w:r>
        <w:rPr>
          <w:rFonts w:ascii="Calibri" w:cs="Calibri" w:eastAsia="Calibri" w:hAnsi="Calibri"/>
          <w:color w:val="1F2937"/>
          <w:sz w:val="22"/>
          <w:szCs w:val="22"/>
        </w:rPr>
        <w:t xml:space="preserve">L’évaluation a été réalisée à l’aide des tests normés suivants : Alouette-R (vitesse et précision de lecture), ODEDYS (outil de dépistage des dyslexies), L2MA-2 (lecture, orthographe, métaphonologie), ainsi qu’une épreuve complémentaire de répétition de logatomes. Les conditions de passation étaient adaptées, avec une pause instaurée en cas de fatigabilité, et la présence rassurante de la mère en salle d’attente.</w:t>
      </w:r>
    </w:p>
    <w:p>
      <w:pPr>
        <w:spacing w:after="160" w:before="280"/>
      </w:pPr>
      <w:r>
        <w:rPr>
          <w:rFonts w:ascii="Cambria" w:cs="Cambria" w:eastAsia="Cambria" w:hAnsi="Cambria"/>
          <w:b/>
          <w:bCs/>
          <w:color w:val="6D28D9"/>
          <w:sz w:val="26"/>
          <w:szCs w:val="26"/>
        </w:rPr>
        <w:t xml:space="preserve">Lecture (vitesse, décodage, compréhension)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Alouette-R : Vitesse de lecture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53 mots/minute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Alouette-R : Précision</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78 %</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Alouette-R : Retard d’âge lexique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18 mois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ODEDYS : Lecture de mots irréguliers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-1,8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ODEDYS : Lecture de logatomes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-2,7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L2MA-2 : Lecture de texte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résultats mettent en évidence une altération marquée de la vitesse et de la précision de lecture, avec un score de 53 mots/minute (pour une norme CE2 de 80-100 mots/minute) et une précision à 78 %. Le retard d’âge lexique de 18 mois souligne le décalage par rapport aux attendus scolaires. Les performances sont particulièrement déficitaires en lecture de logatomes (-2,7 ET), indiquant une atteinte sévère de la voie d’assemblage. La lecture de mots irréguliers est également fragilisée (-1,8 ET), traduisant une faiblesse de la voie d’adressage. La lecture de texte au L2MA-2 se situe au 5e percentile, confirmant un déficit modéré. La compréhension écrite autonome est impactée par la lourdeur du décodage, alors que la compréhension orale reste préservée.</w:t>
      </w:r>
    </w:p>
    <w:p>
      <w:pPr>
        <w:spacing w:after="160" w:before="280"/>
      </w:pPr>
      <w:r>
        <w:rPr>
          <w:rFonts w:ascii="Cambria" w:cs="Cambria" w:eastAsia="Cambria" w:hAnsi="Cambria"/>
          <w:b/>
          <w:bCs/>
          <w:color w:val="6D28D9"/>
          <w:sz w:val="26"/>
          <w:szCs w:val="26"/>
        </w:rPr>
        <w:t xml:space="preserve">Orthographe lexicale et grammaticale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ODEDYS : Dictée de mots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-2,3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L2MA-2 : Orthographe sous dictée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L’évaluation orthographique objective un déficit marqué, avec un score de -2,3 ET à la dictée de mots (ODEDYS) et un positionnement au 3e percentile pour l’orthographe sous dictée (L2MA-2), soit un niveau modéré à sévère. Les erreurs sont majoritairement de type phonologique (omissions, substitutions, simplifications de groupes consonantiques), tandis que la grammaire est globalement respectée dans les phrases simples. Ces éléments orientent vers une dysorthographie phonologique associée à la dyslexie.</w:t>
      </w:r>
    </w:p>
    <w:p>
      <w:pPr>
        <w:spacing w:after="160" w:before="280"/>
      </w:pPr>
      <w:r>
        <w:rPr>
          <w:rFonts w:ascii="Cambria" w:cs="Cambria" w:eastAsia="Cambria" w:hAnsi="Cambria"/>
          <w:b/>
          <w:bCs/>
          <w:color w:val="6D28D9"/>
          <w:sz w:val="26"/>
          <w:szCs w:val="26"/>
        </w:rPr>
        <w:t xml:space="preserve">Conscience phonologique et morphologique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ODEDYS : Conscience phonologique (suppression phonème)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-2,1 ET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conscience phonologique est nettement déficitaire, avec un score de -2,1 ET à l’épreuve de suppression de phonème. Les difficultés sont manifestes en suppression et inversion syllabique, ainsi qu’en comptage de phonèmes, ce qui est typique d’un trouble phonologique sous-jacent. Ces troubles métaphonologiques participent à la sévérité du trouble du langage écrit.</w:t>
      </w:r>
    </w:p>
    <w:p>
      <w:pPr>
        <w:spacing w:after="160" w:before="280"/>
      </w:pPr>
      <w:r>
        <w:rPr>
          <w:rFonts w:ascii="Cambria" w:cs="Cambria" w:eastAsia="Cambria" w:hAnsi="Cambria"/>
          <w:b/>
          <w:bCs/>
          <w:color w:val="6D28D9"/>
          <w:sz w:val="26"/>
          <w:szCs w:val="26"/>
        </w:rPr>
        <w:t xml:space="preserve">Production écrite</w:t>
      </w:r>
    </w:p>
    <w:p>
      <w:pPr>
        <w:spacing w:after="200" w:before="0" w:line="320"/>
      </w:pPr>
      <w:r>
        <w:rPr>
          <w:rFonts w:ascii="Calibri" w:cs="Calibri" w:eastAsia="Calibri" w:hAnsi="Calibri"/>
          <w:color w:val="1F2937"/>
          <w:sz w:val="22"/>
          <w:szCs w:val="22"/>
        </w:rPr>
        <w:t xml:space="preserve">Aucune épreuve de production écrite structurée n’a été notée dans les scores chiffrés, mais les observations qualitatives révèlent une production écrite très en deçà des attendus, avec des erreurs phonologiques massives et une grammaire correcte sur les phrases simples.</w:t>
      </w:r>
    </w:p>
    <w:p>
      <w:pPr>
        <w:spacing w:after="160" w:before="280"/>
      </w:pPr>
      <w:r>
        <w:rPr>
          <w:rFonts w:ascii="Cambria" w:cs="Cambria" w:eastAsia="Cambria" w:hAnsi="Cambria"/>
          <w:b/>
          <w:bCs/>
          <w:color w:val="6D28D9"/>
          <w:sz w:val="26"/>
          <w:szCs w:val="26"/>
        </w:rPr>
        <w:t xml:space="preserve">Mémoire verbale et attention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1750"/>
        <w:gridCol w:w="1750"/>
        <w:gridCol w:w="1750"/>
        <w:gridCol w:w="175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BRUTE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NOTE STANDARD</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175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PERCENTILE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L2MA-2 : Empan verbal endroit</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16</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L2MA-2 : Empan verbal envers</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175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9</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mémoire de travail verbale se situe en limite basse, avec un empan endroit au 16e percentile et un empan envers au 9e percentile. Cette fragilité peut majorer la fatigabilité et la difficulté à mobiliser des stratégies de compensation en lecture.</w:t>
      </w:r>
    </w:p>
    <w:p>
      <w:pPr>
        <w:spacing w:after="220" w:before="360"/>
      </w:pPr>
      <w:r>
        <w:rPr>
          <w:rFonts w:ascii="Cambria" w:cs="Cambria" w:eastAsia="Cambria" w:hAnsi="Cambria"/>
          <w:b/>
          <w:bCs/>
          <w:color w:val="6D28D9"/>
          <w:sz w:val="30"/>
          <w:szCs w:val="30"/>
        </w:rPr>
        <w:t xml:space="preserve">Synthèse quantitative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2333"/>
        <w:gridCol w:w="2333"/>
        <w:gridCol w:w="2334"/>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DOMAINE</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 MOYEN (M=10)</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MOYEN</w:t>
            </w:r>
          </w:p>
        </w:tc>
        <w:tc>
          <w:tcPr>
            <w:tcW w:type="dxa" w:w="2334"/>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STATUT</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Lecture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-2,25 ET</w:t>
            </w:r>
          </w:p>
        </w:tc>
        <w:tc>
          <w:tcPr>
            <w:tcW w:type="dxa" w:w="233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Orthographe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-2,3 ET</w:t>
            </w:r>
          </w:p>
        </w:tc>
        <w:tc>
          <w:tcPr>
            <w:tcW w:type="dxa" w:w="233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Conscience phonologique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-2,1 ET</w:t>
            </w:r>
          </w:p>
        </w:tc>
        <w:tc>
          <w:tcPr>
            <w:tcW w:type="dxa" w:w="233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Mémoire verbale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4"/>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bl>
    <w:p>
      <w:pPr>
        <w:spacing w:after="220" w:before="360"/>
      </w:pPr>
      <w:r>
        <w:rPr>
          <w:rFonts w:ascii="Cambria" w:cs="Cambria" w:eastAsia="Cambria" w:hAnsi="Cambria"/>
          <w:b/>
          <w:bCs/>
          <w:color w:val="6D28D9"/>
          <w:sz w:val="30"/>
          <w:szCs w:val="30"/>
        </w:rPr>
        <w:t xml:space="preserve">Observations qualitatives</w:t>
      </w:r>
    </w:p>
    <w:p>
      <w:pPr>
        <w:pStyle w:val="ListParagraph"/>
        <w:numPr>
          <w:ilvl w:val="0"/>
          <w:numId w:val="2"/>
        </w:numPr>
        <w:spacing w:after="100" w:before="60" w:line="320"/>
      </w:pPr>
      <w:r>
        <w:rPr>
          <w:rFonts w:ascii="Calibri" w:cs="Calibri" w:eastAsia="Calibri" w:hAnsi="Calibri"/>
          <w:b/>
          <w:bCs/>
          <w:color w:val="1F2937"/>
          <w:sz w:val="22"/>
          <w:szCs w:val="22"/>
        </w:rPr>
        <w:t xml:space="preserve">Décodage :</w:t>
      </w:r>
      <w:r>
        <w:rPr>
          <w:rFonts w:ascii="Calibri" w:cs="Calibri" w:eastAsia="Calibri" w:hAnsi="Calibri"/>
          <w:color w:val="1F2937"/>
          <w:sz w:val="22"/>
          <w:szCs w:val="22"/>
        </w:rPr>
        <w:t xml:space="preserve"> « déchiffrage très laborieux », vitesse de lecture estimée à 50 mots/minute (norme attendue CE2 : 80-100 mots/minute), pauses fréquentes sur les graphèmes complexes (« eau », « ph », « gn »), erreurs récurrentes de décodage.</w:t>
      </w:r>
    </w:p>
    <w:p>
      <w:pPr>
        <w:pStyle w:val="ListParagraph"/>
        <w:numPr>
          <w:ilvl w:val="0"/>
          <w:numId w:val="2"/>
        </w:numPr>
        <w:spacing w:after="100" w:before="60" w:line="320"/>
      </w:pPr>
      <w:r>
        <w:rPr>
          <w:rFonts w:ascii="Calibri" w:cs="Calibri" w:eastAsia="Calibri" w:hAnsi="Calibri"/>
          <w:b/>
          <w:bCs/>
          <w:color w:val="1F2937"/>
          <w:sz w:val="22"/>
          <w:szCs w:val="22"/>
        </w:rPr>
        <w:t xml:space="preserve">Voie d’assemblage :</w:t>
      </w:r>
      <w:r>
        <w:rPr>
          <w:rFonts w:ascii="Calibri" w:cs="Calibri" w:eastAsia="Calibri" w:hAnsi="Calibri"/>
          <w:color w:val="1F2937"/>
          <w:sz w:val="22"/>
          <w:szCs w:val="22"/>
        </w:rPr>
        <w:t xml:space="preserve"> Lecture des logatomes nettement plus altérée que celle des mots fréquents, confusions visuelles (« b/d », « p/q » dans les lettres isolées, parfois corrigées), confusions auditives (« f/v », « t/d »), inversions intra-syllabiques (« par » lu « pra », « tr » lu « tor »).</w:t>
      </w:r>
    </w:p>
    <w:p>
      <w:pPr>
        <w:pStyle w:val="ListParagraph"/>
        <w:numPr>
          <w:ilvl w:val="0"/>
          <w:numId w:val="2"/>
        </w:numPr>
        <w:spacing w:after="100" w:before="60" w:line="320"/>
      </w:pPr>
      <w:r>
        <w:rPr>
          <w:rFonts w:ascii="Calibri" w:cs="Calibri" w:eastAsia="Calibri" w:hAnsi="Calibri"/>
          <w:b/>
          <w:bCs/>
          <w:color w:val="1F2937"/>
          <w:sz w:val="22"/>
          <w:szCs w:val="22"/>
        </w:rPr>
        <w:t xml:space="preserve">Vitesse de lecture :</w:t>
      </w:r>
      <w:r>
        <w:rPr>
          <w:rFonts w:ascii="Calibri" w:cs="Calibri" w:eastAsia="Calibri" w:hAnsi="Calibri"/>
          <w:color w:val="1F2937"/>
          <w:sz w:val="22"/>
          <w:szCs w:val="22"/>
        </w:rPr>
        <w:t xml:space="preserve"> Fatigabilité progressive sur les épreuves de lecture, nécessité d’une pause à mi-parcours, lecture lente et hésitante.</w:t>
      </w:r>
    </w:p>
    <w:p>
      <w:pPr>
        <w:pStyle w:val="ListParagraph"/>
        <w:numPr>
          <w:ilvl w:val="0"/>
          <w:numId w:val="2"/>
        </w:numPr>
        <w:spacing w:after="100" w:before="60" w:line="320"/>
      </w:pPr>
      <w:r>
        <w:rPr>
          <w:rFonts w:ascii="Calibri" w:cs="Calibri" w:eastAsia="Calibri" w:hAnsi="Calibri"/>
          <w:b/>
          <w:bCs/>
          <w:color w:val="1F2937"/>
          <w:sz w:val="22"/>
          <w:szCs w:val="22"/>
        </w:rPr>
        <w:t xml:space="preserve">Compréhension écrite :</w:t>
      </w:r>
      <w:r>
        <w:rPr>
          <w:rFonts w:ascii="Calibri" w:cs="Calibri" w:eastAsia="Calibri" w:hAnsi="Calibri"/>
          <w:color w:val="1F2937"/>
          <w:sz w:val="22"/>
          <w:szCs w:val="22"/>
        </w:rPr>
        <w:t xml:space="preserve"> Compréhension de texte écrit préservée lorsque le texte est lu par l’examinatrice (compréhension auditive normale), mais effondrement de la compréhension en lecture autonome du fait de l’effort de décodage.</w:t>
      </w:r>
    </w:p>
    <w:p>
      <w:pPr>
        <w:pStyle w:val="ListParagraph"/>
        <w:numPr>
          <w:ilvl w:val="0"/>
          <w:numId w:val="2"/>
        </w:numPr>
        <w:spacing w:after="100" w:before="60" w:line="320"/>
      </w:pPr>
      <w:r>
        <w:rPr>
          <w:rFonts w:ascii="Calibri" w:cs="Calibri" w:eastAsia="Calibri" w:hAnsi="Calibri"/>
          <w:b/>
          <w:bCs/>
          <w:color w:val="1F2937"/>
          <w:sz w:val="22"/>
          <w:szCs w:val="22"/>
        </w:rPr>
        <w:t xml:space="preserve">Orthographe lexicale :</w:t>
      </w:r>
      <w:r>
        <w:rPr>
          <w:rFonts w:ascii="Calibri" w:cs="Calibri" w:eastAsia="Calibri" w:hAnsi="Calibri"/>
          <w:color w:val="1F2937"/>
          <w:sz w:val="22"/>
          <w:szCs w:val="22"/>
        </w:rPr>
        <w:t xml:space="preserve"> Production écrite très en deçà des attendus, erreurs de type phonologique majoritaires : omissions de phonèmes (« table » → « tabe »), substitutions (« beaucoup » → « bocou »), simplifications de groupes consonantiques, règles orthographiques d’usage non stabilisées.</w:t>
      </w:r>
    </w:p>
    <w:p>
      <w:pPr>
        <w:pStyle w:val="ListParagraph"/>
        <w:numPr>
          <w:ilvl w:val="0"/>
          <w:numId w:val="2"/>
        </w:numPr>
        <w:spacing w:after="100" w:before="60" w:line="320"/>
      </w:pPr>
      <w:r>
        <w:rPr>
          <w:rFonts w:ascii="Calibri" w:cs="Calibri" w:eastAsia="Calibri" w:hAnsi="Calibri"/>
          <w:b/>
          <w:bCs/>
          <w:color w:val="1F2937"/>
          <w:sz w:val="22"/>
          <w:szCs w:val="22"/>
        </w:rPr>
        <w:t xml:space="preserve">Orthographe grammaticale :</w:t>
      </w:r>
      <w:r>
        <w:rPr>
          <w:rFonts w:ascii="Calibri" w:cs="Calibri" w:eastAsia="Calibri" w:hAnsi="Calibri"/>
          <w:color w:val="1F2937"/>
          <w:sz w:val="22"/>
          <w:szCs w:val="22"/>
        </w:rPr>
        <w:t xml:space="preserve"> Grammaire correcte sur les phrases simples (accords sujet-verbe respectés, conjugaisons usuelles).</w:t>
      </w:r>
    </w:p>
    <w:p>
      <w:pPr>
        <w:pStyle w:val="ListParagraph"/>
        <w:numPr>
          <w:ilvl w:val="0"/>
          <w:numId w:val="2"/>
        </w:numPr>
        <w:spacing w:after="100" w:before="60" w:line="320"/>
      </w:pPr>
      <w:r>
        <w:rPr>
          <w:rFonts w:ascii="Calibri" w:cs="Calibri" w:eastAsia="Calibri" w:hAnsi="Calibri"/>
          <w:b/>
          <w:bCs/>
          <w:color w:val="1F2937"/>
          <w:sz w:val="22"/>
          <w:szCs w:val="22"/>
        </w:rPr>
        <w:t xml:space="preserve">Conscience phonologique :</w:t>
      </w:r>
      <w:r>
        <w:rPr>
          <w:rFonts w:ascii="Calibri" w:cs="Calibri" w:eastAsia="Calibri" w:hAnsi="Calibri"/>
          <w:color w:val="1F2937"/>
          <w:sz w:val="22"/>
          <w:szCs w:val="22"/>
        </w:rPr>
        <w:t xml:space="preserve"> Difficultés en suppression syllabique et phonémique, en inversion de syllabes, en comptage de phonèmes — « métaphonologie typiquement déficitaire dans la dyslexie phonologique ».</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 bilan met en évidence un trouble spécifique du langage écrit, à prédominance phonologique, cohérent avec une dyslexie phonologique associée à une dysorthographie phonologique. Les performances sont sévèrement altérées en décodage, vitesse de lecture et orthographe phonétique, avec un déficit modéré à sévère de la conscience phonologique. La lecture de logatomes est particulièrement déficitaire, tandis que la lecture de mots irréguliers et la dictée de mots montrent également des scores pathologiques.</w:t>
      </w:r>
    </w:p>
    <w:p>
      <w:pPr>
        <w:spacing w:after="200" w:before="0" w:line="320"/>
      </w:pPr>
      <w:r>
        <w:rPr>
          <w:rFonts w:ascii="Calibri" w:cs="Calibri" w:eastAsia="Calibri" w:hAnsi="Calibri"/>
          <w:color w:val="1F2937"/>
          <w:sz w:val="22"/>
          <w:szCs w:val="22"/>
        </w:rPr>
        <w:t xml:space="preserve">Le langage oral est préservé, sans trouble associé de la compréhension ou de l’expression orale, ni de la syntaxe ou du lexique. La grammaire écrite reste correcte sur les phrases simples, ce qui oriente vers un trouble isolé du langage écrit, sans atteinte du versant oral. La mémoire de travail verbale est en limite basse, ce qui contribue à la fatigabilité et à la difficulté de mobilisation de stratégies compensatoires.</w:t>
      </w:r>
    </w:p>
    <w:p>
      <w:pPr>
        <w:spacing w:after="200" w:before="0" w:line="320"/>
      </w:pPr>
      <w:r>
        <w:rPr>
          <w:rFonts w:ascii="Calibri" w:cs="Calibri" w:eastAsia="Calibri" w:hAnsi="Calibri"/>
          <w:color w:val="1F2937"/>
          <w:sz w:val="22"/>
          <w:szCs w:val="22"/>
        </w:rPr>
        <w:t xml:space="preserve">Le retentissement fonctionnel est majeur sur les apprentissages scolaires, avec une lecture lente, laborieuse, et une orthographe très en deçà des attendus. L’antécédent paternel de difficultés similaires suggère une composante familiale. Aucun trouble attentionnel ou anxieux n’a été objectivé lors du bilan.</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Au vu de la sévérité du trouble du langage écrit, de la pluridimensionnalité des atteintes (lecture, orthographe, conscience phonologique) et du retentissement scolaire important, une prise en charge orthophonique régulière est indiquée. L’objectif sera d’agir sur les différents axes déficitaires, tout en soutenant la confiance et la motivation de Emma.</w:t>
      </w:r>
    </w:p>
    <w:p>
      <w:pPr>
        <w:pStyle w:val="ListParagraph"/>
        <w:numPr>
          <w:ilvl w:val="0"/>
          <w:numId w:val="2"/>
        </w:numPr>
        <w:spacing w:after="100" w:before="60" w:line="320"/>
      </w:pPr>
      <w:r>
        <w:rPr>
          <w:rFonts w:ascii="Calibri" w:cs="Calibri" w:eastAsia="Calibri" w:hAnsi="Calibri"/>
          <w:b/>
          <w:bCs/>
          <w:color w:val="1F2937"/>
          <w:sz w:val="22"/>
          <w:szCs w:val="22"/>
        </w:rPr>
        <w:t xml:space="preserve">Renforcement du décodage phonologique :</w:t>
      </w:r>
      <w:r>
        <w:rPr>
          <w:rFonts w:ascii="Calibri" w:cs="Calibri" w:eastAsia="Calibri" w:hAnsi="Calibri"/>
          <w:color w:val="1F2937"/>
          <w:sz w:val="22"/>
          <w:szCs w:val="22"/>
        </w:rPr>
        <w:t xml:space="preserve"> Travail systématique sur les correspondances graphème-phonème, entraînement à la lecture de logatomes et de mots nouveaux.</w:t>
      </w:r>
    </w:p>
    <w:p>
      <w:pPr>
        <w:pStyle w:val="ListParagraph"/>
        <w:numPr>
          <w:ilvl w:val="0"/>
          <w:numId w:val="2"/>
        </w:numPr>
        <w:spacing w:after="100" w:before="60" w:line="320"/>
      </w:pPr>
      <w:r>
        <w:rPr>
          <w:rFonts w:ascii="Calibri" w:cs="Calibri" w:eastAsia="Calibri" w:hAnsi="Calibri"/>
          <w:b/>
          <w:bCs/>
          <w:color w:val="1F2937"/>
          <w:sz w:val="22"/>
          <w:szCs w:val="22"/>
        </w:rPr>
        <w:t xml:space="preserve">Automatisation de la voie d’assemblage :</w:t>
      </w:r>
      <w:r>
        <w:rPr>
          <w:rFonts w:ascii="Calibri" w:cs="Calibri" w:eastAsia="Calibri" w:hAnsi="Calibri"/>
          <w:color w:val="1F2937"/>
          <w:sz w:val="22"/>
          <w:szCs w:val="22"/>
        </w:rPr>
        <w:t xml:space="preserve"> Exercices visant à améliorer la fluidité et la précision de lecture, réduction des confusions visuelles et auditives.</w:t>
      </w:r>
    </w:p>
    <w:p>
      <w:pPr>
        <w:pStyle w:val="ListParagraph"/>
        <w:numPr>
          <w:ilvl w:val="0"/>
          <w:numId w:val="2"/>
        </w:numPr>
        <w:spacing w:after="100" w:before="60" w:line="320"/>
      </w:pPr>
      <w:r>
        <w:rPr>
          <w:rFonts w:ascii="Calibri" w:cs="Calibri" w:eastAsia="Calibri" w:hAnsi="Calibri"/>
          <w:b/>
          <w:bCs/>
          <w:color w:val="1F2937"/>
          <w:sz w:val="22"/>
          <w:szCs w:val="22"/>
        </w:rPr>
        <w:t xml:space="preserve">Consolidation de la conscience phonologique :</w:t>
      </w:r>
      <w:r>
        <w:rPr>
          <w:rFonts w:ascii="Calibri" w:cs="Calibri" w:eastAsia="Calibri" w:hAnsi="Calibri"/>
          <w:color w:val="1F2937"/>
          <w:sz w:val="22"/>
          <w:szCs w:val="22"/>
        </w:rPr>
        <w:t xml:space="preserve"> Activités ciblées sur la suppression, l’inversion et le comptage de phonèmes et de syllabes.</w:t>
      </w:r>
    </w:p>
    <w:p>
      <w:pPr>
        <w:pStyle w:val="ListParagraph"/>
        <w:numPr>
          <w:ilvl w:val="0"/>
          <w:numId w:val="2"/>
        </w:numPr>
        <w:spacing w:after="100" w:before="60" w:line="320"/>
      </w:pPr>
      <w:r>
        <w:rPr>
          <w:rFonts w:ascii="Calibri" w:cs="Calibri" w:eastAsia="Calibri" w:hAnsi="Calibri"/>
          <w:b/>
          <w:bCs/>
          <w:color w:val="1F2937"/>
          <w:sz w:val="22"/>
          <w:szCs w:val="22"/>
        </w:rPr>
        <w:t xml:space="preserve">Remédiation de l’orthographe phonologique :</w:t>
      </w:r>
      <w:r>
        <w:rPr>
          <w:rFonts w:ascii="Calibri" w:cs="Calibri" w:eastAsia="Calibri" w:hAnsi="Calibri"/>
          <w:color w:val="1F2937"/>
          <w:sz w:val="22"/>
          <w:szCs w:val="22"/>
        </w:rPr>
        <w:t xml:space="preserve"> Travail sur l’encodage, la segmentation phonémique et la stabilisation des règles orthographiques d’usage.</w:t>
      </w:r>
    </w:p>
    <w:p>
      <w:pPr>
        <w:pStyle w:val="ListParagraph"/>
        <w:numPr>
          <w:ilvl w:val="0"/>
          <w:numId w:val="2"/>
        </w:numPr>
        <w:spacing w:after="100" w:before="60" w:line="320"/>
      </w:pPr>
      <w:r>
        <w:rPr>
          <w:rFonts w:ascii="Calibri" w:cs="Calibri" w:eastAsia="Calibri" w:hAnsi="Calibri"/>
          <w:b/>
          <w:bCs/>
          <w:color w:val="1F2937"/>
          <w:sz w:val="22"/>
          <w:szCs w:val="22"/>
        </w:rPr>
        <w:t xml:space="preserve">Soutien de la mémoire de travail verbale :</w:t>
      </w:r>
      <w:r>
        <w:rPr>
          <w:rFonts w:ascii="Calibri" w:cs="Calibri" w:eastAsia="Calibri" w:hAnsi="Calibri"/>
          <w:color w:val="1F2937"/>
          <w:sz w:val="22"/>
          <w:szCs w:val="22"/>
        </w:rPr>
        <w:t xml:space="preserve"> Exercices adaptés pour améliorer l’empan verbal et la gestion de la charge cognitive en lecture/écriture.</w:t>
      </w:r>
    </w:p>
    <w:p>
      <w:pPr>
        <w:pStyle w:val="ListParagraph"/>
        <w:numPr>
          <w:ilvl w:val="0"/>
          <w:numId w:val="2"/>
        </w:numPr>
        <w:spacing w:after="100" w:before="60" w:line="320"/>
      </w:pPr>
      <w:r>
        <w:rPr>
          <w:rFonts w:ascii="Calibri" w:cs="Calibri" w:eastAsia="Calibri" w:hAnsi="Calibri"/>
          <w:b/>
          <w:bCs/>
          <w:color w:val="1F2937"/>
          <w:sz w:val="22"/>
          <w:szCs w:val="22"/>
        </w:rPr>
        <w:t xml:space="preserve">Accompagnement psycho-affectif :</w:t>
      </w:r>
      <w:r>
        <w:rPr>
          <w:rFonts w:ascii="Calibri" w:cs="Calibri" w:eastAsia="Calibri" w:hAnsi="Calibri"/>
          <w:color w:val="1F2937"/>
          <w:sz w:val="22"/>
          <w:szCs w:val="22"/>
        </w:rPr>
        <w:t xml:space="preserve"> Valorisation des progrès, soutien de la motivation et prévention du découragement face à la difficulté scolaire.</w:t>
      </w:r>
    </w:p>
    <w:p>
      <w:pPr>
        <w:spacing w:after="120" w:before="0"/>
      </w:pPr>
      <w:r>
        <w:t xml:space="preserve"/>
      </w:r>
    </w:p>
    <w:p>
      <w:pPr>
        <w:spacing w:after="200" w:before="0" w:line="320"/>
      </w:pPr>
      <w:r>
        <w:rPr>
          <w:rFonts w:ascii="Calibri" w:cs="Calibri" w:eastAsia="Calibri" w:hAnsi="Calibri"/>
          <w:color w:val="1F2937"/>
          <w:sz w:val="22"/>
          <w:szCs w:val="22"/>
        </w:rPr>
        <w:t xml:space="preserve">Une prise en charge orthophonique à raison de 2 séances hebdomadaires de 30 minutes chacune est recommandée, pour une durée minimale de 6 mois, avec renouvellement possible selon l’évolution. La demande porte sur 50 séances au titre du code AMO 15,4.</w:t>
      </w:r>
    </w:p>
    <w:p>
      <w:pPr>
        <w:spacing w:after="200" w:before="0" w:line="320"/>
      </w:pPr>
      <w:r>
        <w:rPr>
          <w:rFonts w:ascii="Calibri" w:cs="Calibri" w:eastAsia="Calibri" w:hAnsi="Calibri"/>
          <w:color w:val="1F2937"/>
          <w:sz w:val="22"/>
          <w:szCs w:val="22"/>
        </w:rPr>
        <w:t xml:space="preserve">Compte tenu du retentissement scolaire important, il est conseillé de rédiger un courrier à destination de la MDPH afin de solliciter des aménagements pédagogiques adaptés.</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Emma Falcoz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Emma Falcoz — Langage écrit</dc:title>
  <dc:creator>Orthonie</dc:creator>
  <dc:description>Compte-rendu de bilan orthophonique — Modèle Orthonie</dc:description>
  <cp:lastModifiedBy>Un-named</cp:lastModifiedBy>
  <cp:revision>1</cp:revision>
  <dcterms:created xsi:type="dcterms:W3CDTF">2026-05-02T17:53:39.087Z</dcterms:created>
  <dcterms:modified xsi:type="dcterms:W3CDTF">2026-05-02T17:53:39.087Z</dcterms:modified>
</cp:coreProperties>
</file>

<file path=docProps/custom.xml><?xml version="1.0" encoding="utf-8"?>
<Properties xmlns="http://schemas.openxmlformats.org/officeDocument/2006/custom-properties" xmlns:vt="http://schemas.openxmlformats.org/officeDocument/2006/docPropsVTypes"/>
</file>