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Hugo Vermeille (13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280"/>
        <w:jc w:val="center"/>
      </w:pPr>
      <w:r>
        <w:rPr>
          <w:rFonts w:ascii="Calibri" w:cs="Calibri" w:eastAsia="Calibri" w:hAnsi="Calibri"/>
          <w:color w:val="6B7280"/>
          <w:spacing w:val="30"/>
          <w:sz w:val="20"/>
          <w:szCs w:val="20"/>
        </w:rPr>
        <w:t xml:space="preserve">BILAN INITIAL · BILAN LOGICO-MATHÉMATIQUE</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Hugo</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masculin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22 janvier 2013</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13 ans 3 mois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 : </w:t>
            </w:r>
            <w:r>
              <w:rPr>
                <w:rFonts w:ascii="Calibri" w:cs="Calibri" w:eastAsia="Calibri" w:hAnsi="Calibri"/>
                <w:color w:val="1F2937"/>
                <w:sz w:val="22"/>
                <w:szCs w:val="22"/>
              </w:rPr>
              <w:t xml:space="preserve">4e</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Catherine Rolland (médecin scolaire)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Hugo, âgé de 13 ans et scolarisé en classe de 4e, a été adressé pour bilan orthophonique à la demande conjointe du conseil de classe et de ses parents, sur prescription du Dr Rolland, médecin scolaire. La démarche vise à explorer une suspicion de trouble logico-mathématique persistant, dans un contexte de difficultés massives en mathématiques signalées depuis le CE1. Malgré un soutien scolaire régulier et des efforts constants, les progrès attendus n’ont jamais été obtenus. Les parents et l’équipe pédagogique rapportent une aggravation des difficultés depuis l’entrée au collège, motivant la réalisation de ce bilan spécialisé.</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Hugo est l’aîné d’une fratrie de trois enfants. La grossesse et l’accouchement se sont déroulés sans particularité. Les étapes développementales motrices et langagières ont été acquises dans les normes, avec les premiers mots à 12 mois et les premières phrases à 22 mois.</w:t>
      </w:r>
    </w:p>
    <w:p>
      <w:pPr>
        <w:spacing w:after="200" w:before="0" w:line="320"/>
      </w:pPr>
      <w:r>
        <w:rPr>
          <w:rFonts w:ascii="Calibri" w:cs="Calibri" w:eastAsia="Calibri" w:hAnsi="Calibri"/>
          <w:color w:val="1F2937"/>
          <w:sz w:val="22"/>
          <w:szCs w:val="22"/>
        </w:rPr>
        <w:t xml:space="preserve">Un suivi orthophonique antérieur a été mené entre 8 et 9 ans pour un trouble du langage écrit, diagnostiqué comme une dyslexie phonologique de sévérité légère. Ce suivi a comporté environ trente séances, avec une fin de prise en charge en juin 2022. Depuis, la lecture et l’orthographe sont devenues fonctionnelles et ne font plus l’objet de plainte.</w:t>
      </w:r>
    </w:p>
    <w:p>
      <w:pPr>
        <w:spacing w:after="200" w:before="0" w:line="320"/>
      </w:pPr>
      <w:r>
        <w:rPr>
          <w:rFonts w:ascii="Calibri" w:cs="Calibri" w:eastAsia="Calibri" w:hAnsi="Calibri"/>
          <w:color w:val="1F2937"/>
          <w:sz w:val="22"/>
          <w:szCs w:val="22"/>
        </w:rPr>
        <w:t xml:space="preserve">Sur le plan familial, un oncle maternel a été diagnostiqué dyscalculique à l’âge adulte (sans prise en charge), tandis que la grand-mère paternelle est décrite comme « ayant toujours détesté les chiffres ». L’audition a été vérifiée par un ORL en mars 2026 sans anomalie, et la vision est corrigée pour une myopie modérée (lunettes adaptées). Aucun signe évocateur d’un trouble de l’attention n’a été relevé.</w:t>
      </w:r>
    </w:p>
    <w:p>
      <w:pPr>
        <w:spacing w:after="200" w:before="0" w:line="320"/>
      </w:pPr>
      <w:r>
        <w:rPr>
          <w:rFonts w:ascii="Calibri" w:cs="Calibri" w:eastAsia="Calibri" w:hAnsi="Calibri"/>
          <w:color w:val="1F2937"/>
          <w:sz w:val="22"/>
          <w:szCs w:val="22"/>
        </w:rPr>
        <w:t xml:space="preserve">Sur le plan scolaire, Hugo est décrit comme un élève sérieux et motivé, avec de bons résultats en français (15/20), anglais (14/20) et histoire-géographie (13/20). En revanche, sa moyenne en mathématiques est de 5/20 au premier trimestre et de 6/20 au second trimestre de l’année en cours. Les résultats en sciences sont moyens à fragiles (10-11/20), principalement en raison des difficultés sur les exercices à composante calculatoire. Le bulletin scolaire mentionne des difficultés massives en numération, calcul et géométrie, en aggravation depuis l’entrée au collège. Hugo verbalise spontanément ses difficultés en mathématiques et exprime une anxiété mathématique notable mais contenue, sans évitement scolaire ni phobie.</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Lors du bilan, Hugo s’est présenté accompagné de son père. Il a fait preuve d’une excellente coopération et d’une motivation manifeste tout au long des épreuves. Sa tolérance à la difficulté est bonne, traduisant un coping construit au fil des années face à ses difficultés. Il sollicite spontanément des explications lorsqu’il se trouve en situation de blocage, accepte les pauses proposées et ne se décourage pas face à l’échec.</w:t>
      </w:r>
    </w:p>
    <w:p>
      <w:pPr>
        <w:spacing w:after="200" w:before="0" w:line="320"/>
      </w:pPr>
      <w:r>
        <w:rPr>
          <w:rFonts w:ascii="Calibri" w:cs="Calibri" w:eastAsia="Calibri" w:hAnsi="Calibri"/>
          <w:color w:val="1F2937"/>
          <w:sz w:val="22"/>
          <w:szCs w:val="22"/>
        </w:rPr>
        <w:t xml:space="preserve">L’attention auditive et soutenue a été jugée satisfaisante pour la durée du bilan, avec une fatigabilité limitée. Hugo verbalise à voix haute ses stratégies, ce qui a permis une observation fine des procédures utilisées. Les conditions de passation ont donc été optimales pour l’évaluation des compétences logico-mathématiques.</w:t>
      </w:r>
    </w:p>
    <w:p>
      <w:pPr>
        <w:spacing w:after="220" w:before="360"/>
      </w:pPr>
      <w:r>
        <w:rPr>
          <w:rFonts w:ascii="Cambria" w:cs="Cambria" w:eastAsia="Cambria" w:hAnsi="Cambria"/>
          <w:b/>
          <w:bCs/>
          <w:color w:val="6D28D9"/>
          <w:sz w:val="30"/>
          <w:szCs w:val="30"/>
        </w:rPr>
        <w:t xml:space="preserve">Évaluation des compétences logico-mathématiques</w:t>
      </w:r>
    </w:p>
    <w:p>
      <w:pPr>
        <w:spacing w:after="200" w:before="0" w:line="320"/>
      </w:pPr>
      <w:r>
        <w:rPr>
          <w:rFonts w:ascii="Calibri" w:cs="Calibri" w:eastAsia="Calibri" w:hAnsi="Calibri"/>
          <w:color w:val="1F2937"/>
          <w:sz w:val="22"/>
          <w:szCs w:val="22"/>
        </w:rPr>
        <w:t xml:space="preserve">L’évaluation a été conduite à l’aide du TEDI-MATH Grands (Test Diagnostique des Compétences de Base en Mathématiques pour adolescents) et de la batterie ZAREKI-R (Batterie pour l’évaluation du traitement des nombres et du calcul chez l’enfant). Les épreuves ont porté sur la numération, le transcodage, les opérations, la résolution de problèmes, l’estimation et la comparaison de grandeurs. Les scores sont interprétés selon les étalonnages standards (moyenne = 10, écart-type = 3 pour TEDI-MATH ; percentiles pour ZAREKI-R).</w:t>
      </w:r>
    </w:p>
    <w:p>
      <w:pPr>
        <w:spacing w:after="160" w:before="280"/>
      </w:pPr>
      <w:r>
        <w:rPr>
          <w:rFonts w:ascii="Cambria" w:cs="Cambria" w:eastAsia="Cambria" w:hAnsi="Cambria"/>
          <w:b/>
          <w:bCs/>
          <w:color w:val="6D28D9"/>
          <w:sz w:val="26"/>
          <w:szCs w:val="26"/>
        </w:rPr>
        <w:t xml:space="preserve">Dénombrement et chaîne numérique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782"/>
        <w:gridCol w:w="2982"/>
        <w:gridCol w:w="2982"/>
      </w:tblGrid>
      <w:tr>
        <w:trPr>
          <w:tblHeader/>
        </w:trPr>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Dénombrement (TEDI-MATH)</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-1,5 ET</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Empan numérique endroit</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-1,3 ET</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Limite basse</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Empan numérique envers</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-1,8 ET</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résultats montrent une fragilité notable dans le dénombrement et la gestion de la chaîne numérique. L’empan numérique est à la limite basse pour l’endroit (4 chiffres, norme attendue 5-6) et fragile pour l’envers, ce qui traduit une mémoire de travail numérique limitée. Ces difficultés impactent la manipulation des quantités et la gestion des procédures arithmétiques de base.</w:t>
      </w:r>
    </w:p>
    <w:p>
      <w:pPr>
        <w:spacing w:after="160" w:before="280"/>
      </w:pPr>
      <w:r>
        <w:rPr>
          <w:rFonts w:ascii="Cambria" w:cs="Cambria" w:eastAsia="Cambria" w:hAnsi="Cambria"/>
          <w:b/>
          <w:bCs/>
          <w:color w:val="6D28D9"/>
          <w:sz w:val="26"/>
          <w:szCs w:val="26"/>
        </w:rPr>
        <w:t xml:space="preserve">Numération (lecture, écriture, transcodage)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782"/>
        <w:gridCol w:w="2982"/>
        <w:gridCol w:w="2982"/>
      </w:tblGrid>
      <w:tr>
        <w:trPr>
          <w:tblHeader/>
        </w:trPr>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 PERCENTILE</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Système numérique arabe (transcodage chiffres, TEDI-MATH)</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-2,8 ET</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Lecture de nombres (ZAREKI-R)</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percentile 9</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Une atteinte sévère est observée dans le transcodage numérique, avec des erreurs fréquentes lors de la lecture et de l’écriture de nombres, en particulier dès que la complexité numérique augmente (nombres à 4 chiffres et plus, présence de zéros intercalaires). La lecture de nombres se situe à un niveau fragile, confirmant la difficulté à manipuler les différentes représentations numériques.</w:t>
      </w:r>
    </w:p>
    <w:p>
      <w:pPr>
        <w:spacing w:after="160" w:before="280"/>
      </w:pPr>
      <w:r>
        <w:rPr>
          <w:rFonts w:ascii="Cambria" w:cs="Cambria" w:eastAsia="Cambria" w:hAnsi="Cambria"/>
          <w:b/>
          <w:bCs/>
          <w:color w:val="6D28D9"/>
          <w:sz w:val="26"/>
          <w:szCs w:val="26"/>
        </w:rPr>
        <w:t xml:space="preserve">Opérations (calcul mental, calcul posé)</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782"/>
        <w:gridCol w:w="2982"/>
        <w:gridCol w:w="2982"/>
      </w:tblGrid>
      <w:tr>
        <w:trPr>
          <w:tblHeader/>
        </w:trPr>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 PERCENTILE</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Opérations (TEDI-MATH)</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-2,5 ET</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Calcul mental (ZAREKI-R)</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percentile 3</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Calcul approximatif (ZAREKI-R)</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percentile 5</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Comparaison numérique (ZAREKI-R)</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percentile 12</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Norme inférieure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opérations arithmétiques, tant en calcul mental qu’en calcul posé, sont sévèrement atteintes. Les automatismes de base (tables d’addition et de multiplication) sont incomplètement installés, le recours au comptage sur les doigts reste fréquent, et les procédures sont lentes et laborieuses. Les scores confirment l’existence d’un trouble du traitement opératoire, impactant significativement la performance scolaire en mathématiques.</w:t>
      </w:r>
    </w:p>
    <w:p>
      <w:pPr>
        <w:spacing w:after="160" w:before="280"/>
      </w:pPr>
      <w:r>
        <w:rPr>
          <w:rFonts w:ascii="Cambria" w:cs="Cambria" w:eastAsia="Cambria" w:hAnsi="Cambria"/>
          <w:b/>
          <w:bCs/>
          <w:color w:val="6D28D9"/>
          <w:sz w:val="26"/>
          <w:szCs w:val="26"/>
        </w:rPr>
        <w:t xml:space="preserve">Résolution de problèmes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782"/>
        <w:gridCol w:w="2982"/>
        <w:gridCol w:w="2982"/>
      </w:tblGrid>
      <w:tr>
        <w:trPr>
          <w:tblHeader/>
        </w:trPr>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Résolution de problèmes (TEDI-MATH)</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-2,2 ET</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résolution de problèmes est perturbée par une difficulté majeure à sélectionner l’opération adéquate, malgré une compréhension préservée des énoncés et une identification correcte des données numériques. Les erreurs sont systématiques dès que la structure du problème s’éloigne du schéma additif simple, témoignant d’un déficit de flexibilité opératoire et d’une faible automatisation des procédures.</w:t>
      </w:r>
    </w:p>
    <w:p>
      <w:pPr>
        <w:spacing w:after="160" w:before="280"/>
      </w:pPr>
      <w:r>
        <w:rPr>
          <w:rFonts w:ascii="Cambria" w:cs="Cambria" w:eastAsia="Cambria" w:hAnsi="Cambria"/>
          <w:b/>
          <w:bCs/>
          <w:color w:val="6D28D9"/>
          <w:sz w:val="26"/>
          <w:szCs w:val="26"/>
        </w:rPr>
        <w:t xml:space="preserve">Raisonnement logique et classification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782"/>
        <w:gridCol w:w="2982"/>
        <w:gridCol w:w="2982"/>
      </w:tblGrid>
      <w:tr>
        <w:trPr>
          <w:tblHeader/>
        </w:trPr>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 PERCENTILE</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Estimation de grandeurs (TEDI-MATH)</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-2,6 ET</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Comparaison de grandeurs (TEDI-MATH)</w:t>
            </w:r>
          </w:p>
        </w:tc>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-1,9 ET</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 sens du nombre et l’estimation constituent le point le plus déficitaire du profil, avec des erreurs massives dans l’évaluation des quantités et des grandeurs. Les comparaisons de grandeurs sont fragiles dès que les nombres dépassent 10 000, et les stratégies d’arrondi ou d’estimation ne sont pas spontanément mobilisées. Ce déficit structurel du sens du nombre est un marqueur central du trouble observé.</w:t>
      </w:r>
    </w:p>
    <w:p>
      <w:pPr>
        <w:spacing w:after="220" w:before="360"/>
      </w:pPr>
      <w:r>
        <w:rPr>
          <w:rFonts w:ascii="Cambria" w:cs="Cambria" w:eastAsia="Cambria" w:hAnsi="Cambria"/>
          <w:b/>
          <w:bCs/>
          <w:color w:val="6D28D9"/>
          <w:sz w:val="30"/>
          <w:szCs w:val="30"/>
        </w:rPr>
        <w:t xml:space="preserve">Synthèse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2333"/>
        <w:gridCol w:w="2333"/>
        <w:gridCol w:w="2334"/>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DOMAINE</w:t>
            </w:r>
          </w:p>
        </w:tc>
        <w:tc>
          <w:tcPr>
            <w:tcW w:type="dxa" w:w="2333"/>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SCORE MOYEN (M=10)</w:t>
            </w:r>
          </w:p>
        </w:tc>
        <w:tc>
          <w:tcPr>
            <w:tcW w:type="dxa" w:w="2333"/>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ÉCART-TYPE MOYEN</w:t>
            </w:r>
          </w:p>
        </w:tc>
        <w:tc>
          <w:tcPr>
            <w:tcW w:type="dxa" w:w="2334"/>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STATUT</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Dénombrement et chaîne numérique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-1,5 ET</w:t>
            </w:r>
          </w:p>
        </w:tc>
        <w:tc>
          <w:tcPr>
            <w:tcW w:type="dxa" w:w="2334"/>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Numération / Transcodage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-2,8 ET</w:t>
            </w:r>
          </w:p>
        </w:tc>
        <w:tc>
          <w:tcPr>
            <w:tcW w:type="dxa" w:w="2334"/>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Opérations</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-2,5 ET</w:t>
            </w:r>
          </w:p>
        </w:tc>
        <w:tc>
          <w:tcPr>
            <w:tcW w:type="dxa" w:w="2334"/>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Résolution de problèmes</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-2,2 ET</w:t>
            </w:r>
          </w:p>
        </w:tc>
        <w:tc>
          <w:tcPr>
            <w:tcW w:type="dxa" w:w="233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Estimation / Raisonnement logique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6B7280"/>
                <w:sz w:val="22"/>
                <w:szCs w:val="22"/>
              </w:rPr>
              <w:t xml:space="preserve">—</w:t>
            </w:r>
          </w:p>
        </w:tc>
        <w:tc>
          <w:tcPr>
            <w:tcW w:type="dxa" w:w="2333"/>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-2,25 ET</w:t>
            </w:r>
          </w:p>
        </w:tc>
        <w:tc>
          <w:tcPr>
            <w:tcW w:type="dxa" w:w="2334"/>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bl>
    <w:p>
      <w:pPr>
        <w:spacing w:after="220" w:before="360"/>
      </w:pPr>
      <w:r>
        <w:rPr>
          <w:rFonts w:ascii="Cambria" w:cs="Cambria" w:eastAsia="Cambria" w:hAnsi="Cambria"/>
          <w:b/>
          <w:bCs/>
          <w:color w:val="6D28D9"/>
          <w:sz w:val="30"/>
          <w:szCs w:val="30"/>
        </w:rPr>
        <w:t xml:space="preserve">Observations qualitatives</w:t>
      </w:r>
    </w:p>
    <w:p>
      <w:pPr>
        <w:pStyle w:val="ListParagraph"/>
        <w:numPr>
          <w:ilvl w:val="0"/>
          <w:numId w:val="2"/>
        </w:numPr>
        <w:spacing w:after="100" w:before="60" w:line="320"/>
      </w:pPr>
      <w:r>
        <w:rPr>
          <w:rFonts w:ascii="Calibri" w:cs="Calibri" w:eastAsia="Calibri" w:hAnsi="Calibri"/>
          <w:b/>
          <w:bCs/>
          <w:color w:val="1F2937"/>
          <w:sz w:val="22"/>
          <w:szCs w:val="22"/>
        </w:rPr>
        <w:t xml:space="preserve">Transcodage numérique :</w:t>
      </w:r>
      <w:r>
        <w:rPr>
          <w:rFonts w:ascii="Calibri" w:cs="Calibri" w:eastAsia="Calibri" w:hAnsi="Calibri"/>
          <w:color w:val="1F2937"/>
          <w:sz w:val="22"/>
          <w:szCs w:val="22"/>
        </w:rPr>
        <w:t xml:space="preserve"> Lecture des nombres jusqu’à 999 acquise mais lente. À partir de 4 chiffres, erreurs récurrentes : « 1024 » lu « cent vingt-quatre » ou « dix-mille vingt-quatre ». Écriture en chiffres à partir d’un nombre dicté en lettres : confusions sur les nombres avec zéro intercalaire (« mille deux » écrit « 1200 », « trois mille cinq cents quatre » écrit « 350004 »).</w:t>
      </w:r>
    </w:p>
    <w:p>
      <w:pPr>
        <w:pStyle w:val="ListParagraph"/>
        <w:numPr>
          <w:ilvl w:val="0"/>
          <w:numId w:val="2"/>
        </w:numPr>
        <w:spacing w:after="100" w:before="60" w:line="320"/>
      </w:pPr>
      <w:r>
        <w:rPr>
          <w:rFonts w:ascii="Calibri" w:cs="Calibri" w:eastAsia="Calibri" w:hAnsi="Calibri"/>
          <w:b/>
          <w:bCs/>
          <w:color w:val="1F2937"/>
          <w:sz w:val="22"/>
          <w:szCs w:val="22"/>
        </w:rPr>
        <w:t xml:space="preserve">Numération :</w:t>
      </w:r>
      <w:r>
        <w:rPr>
          <w:rFonts w:ascii="Calibri" w:cs="Calibri" w:eastAsia="Calibri" w:hAnsi="Calibri"/>
          <w:color w:val="1F2937"/>
          <w:sz w:val="22"/>
          <w:szCs w:val="22"/>
        </w:rPr>
        <w:t xml:space="preserve"> Sens des positions très fragile. Difficulté à identifier le rang d’un chiffre dans un nombre à 5 chiffres ou plus (« dans 53 247, le chiffre des centaines est ? »). Conversion entre représentations (chiffrée / position décimale) inconstante. Comparaison de grandeurs préservée pour les nombres entiers jusqu’à 10 000, fragile au-delà.</w:t>
      </w:r>
    </w:p>
    <w:p>
      <w:pPr>
        <w:pStyle w:val="ListParagraph"/>
        <w:numPr>
          <w:ilvl w:val="0"/>
          <w:numId w:val="2"/>
        </w:numPr>
        <w:spacing w:after="100" w:before="60" w:line="320"/>
      </w:pPr>
      <w:r>
        <w:rPr>
          <w:rFonts w:ascii="Calibri" w:cs="Calibri" w:eastAsia="Calibri" w:hAnsi="Calibri"/>
          <w:b/>
          <w:bCs/>
          <w:color w:val="1F2937"/>
          <w:sz w:val="22"/>
          <w:szCs w:val="22"/>
        </w:rPr>
        <w:t xml:space="preserve">Calcul mental :</w:t>
      </w:r>
      <w:r>
        <w:rPr>
          <w:rFonts w:ascii="Calibri" w:cs="Calibri" w:eastAsia="Calibri" w:hAnsi="Calibri"/>
          <w:color w:val="1F2937"/>
          <w:sz w:val="22"/>
          <w:szCs w:val="22"/>
        </w:rPr>
        <w:t xml:space="preserve"> Extrêmement laborieux. Hugo recourt encore au comptage sur les doigts pour des additions simples (8 + 7 par exemple), automatisme non installé. Tables d’addition acquises pour 1, 2, 5 et 10 ; fragiles pour les autres. Tables de multiplication automatisées pour 2, 5 et 10 ; les autres tables sont reconstruites par addition itérative (« 6 × 4, c’est 4 + 4 = 8, 8 + 4 = 12, 12 + 4 = 16, 16 + 4 = 20, 20 + 4 = 24 »). Soustraction mentale avec retenue très fragile. Division mentale impossible sans poser le calcul.</w:t>
      </w:r>
    </w:p>
    <w:p>
      <w:pPr>
        <w:pStyle w:val="ListParagraph"/>
        <w:numPr>
          <w:ilvl w:val="0"/>
          <w:numId w:val="2"/>
        </w:numPr>
        <w:spacing w:after="100" w:before="60" w:line="320"/>
      </w:pPr>
      <w:r>
        <w:rPr>
          <w:rFonts w:ascii="Calibri" w:cs="Calibri" w:eastAsia="Calibri" w:hAnsi="Calibri"/>
          <w:b/>
          <w:bCs/>
          <w:color w:val="1F2937"/>
          <w:sz w:val="22"/>
          <w:szCs w:val="22"/>
        </w:rPr>
        <w:t xml:space="preserve">Calcul posé :</w:t>
      </w:r>
      <w:r>
        <w:rPr>
          <w:rFonts w:ascii="Calibri" w:cs="Calibri" w:eastAsia="Calibri" w:hAnsi="Calibri"/>
          <w:color w:val="1F2937"/>
          <w:sz w:val="22"/>
          <w:szCs w:val="22"/>
        </w:rPr>
        <w:t xml:space="preserve"> Algorithme de l’addition acquis mais avec erreurs de retenue récurrentes. Soustraction posée fragile, échec systématique sur les emprunts (« 502 - 137 » → erreur). Multiplication posée non maîtrisée à 4 chiffres (algorithme partiellement compris mais lourd à exécuter). Division posée non acquise.</w:t>
      </w:r>
    </w:p>
    <w:p>
      <w:pPr>
        <w:pStyle w:val="ListParagraph"/>
        <w:numPr>
          <w:ilvl w:val="0"/>
          <w:numId w:val="2"/>
        </w:numPr>
        <w:spacing w:after="100" w:before="60" w:line="320"/>
      </w:pPr>
      <w:r>
        <w:rPr>
          <w:rFonts w:ascii="Calibri" w:cs="Calibri" w:eastAsia="Calibri" w:hAnsi="Calibri"/>
          <w:b/>
          <w:bCs/>
          <w:color w:val="1F2937"/>
          <w:sz w:val="22"/>
          <w:szCs w:val="22"/>
        </w:rPr>
        <w:t xml:space="preserve">Résolution de problèmes :</w:t>
      </w:r>
      <w:r>
        <w:rPr>
          <w:rFonts w:ascii="Calibri" w:cs="Calibri" w:eastAsia="Calibri" w:hAnsi="Calibri"/>
          <w:color w:val="1F2937"/>
          <w:sz w:val="22"/>
          <w:szCs w:val="22"/>
        </w:rPr>
        <w:t xml:space="preserve"> Difficulté massive à choisir l’opération adéquate. Comprend la situation décrite dans l’énoncé (le langage écrit est préservé), identifie correctement les données numériques, mais le choix opérationnel est chaotique. Sur un problème additif simple type « Marie a 12 billes, elle en gagne 5, combien en a-t-elle ? », réussite. Dès que le problème implique une soustraction inverse (« Marie a 12 billes, elle en avait 5 de plus avant, combien en avait-elle au début ? »), erreur systématique sur le choix de l’opération.</w:t>
      </w:r>
    </w:p>
    <w:p>
      <w:pPr>
        <w:pStyle w:val="ListParagraph"/>
        <w:numPr>
          <w:ilvl w:val="0"/>
          <w:numId w:val="2"/>
        </w:numPr>
        <w:spacing w:after="100" w:before="60" w:line="320"/>
      </w:pPr>
      <w:r>
        <w:rPr>
          <w:rFonts w:ascii="Calibri" w:cs="Calibri" w:eastAsia="Calibri" w:hAnsi="Calibri"/>
          <w:b/>
          <w:bCs/>
          <w:color w:val="1F2937"/>
          <w:sz w:val="22"/>
          <w:szCs w:val="22"/>
        </w:rPr>
        <w:t xml:space="preserve">Géométrie et conversions :</w:t>
      </w:r>
      <w:r>
        <w:rPr>
          <w:rFonts w:ascii="Calibri" w:cs="Calibri" w:eastAsia="Calibri" w:hAnsi="Calibri"/>
          <w:color w:val="1F2937"/>
          <w:sz w:val="22"/>
          <w:szCs w:val="22"/>
        </w:rPr>
        <w:t xml:space="preserve"> Confusion fréquente entre périmètre et aire (« le périmètre c’est dedans, l’aire c’est autour ? »). Calcul d’aire d’un rectangle simple non automatisé. Reconnaissance des figures planes correcte, identification des angles (droit, aigu, obtus) acquise. Conversions d’unités (mètres, centimètres, millimètres) très fragiles, jamais automatisées.</w:t>
      </w:r>
    </w:p>
    <w:p>
      <w:pPr>
        <w:pStyle w:val="ListParagraph"/>
        <w:numPr>
          <w:ilvl w:val="0"/>
          <w:numId w:val="2"/>
        </w:numPr>
        <w:spacing w:after="100" w:before="60" w:line="320"/>
      </w:pPr>
      <w:r>
        <w:rPr>
          <w:rFonts w:ascii="Calibri" w:cs="Calibri" w:eastAsia="Calibri" w:hAnsi="Calibri"/>
          <w:b/>
          <w:bCs/>
          <w:color w:val="1F2937"/>
          <w:sz w:val="22"/>
          <w:szCs w:val="22"/>
        </w:rPr>
        <w:t xml:space="preserve">Sens du nombre et estimation :</w:t>
      </w:r>
      <w:r>
        <w:rPr>
          <w:rFonts w:ascii="Calibri" w:cs="Calibri" w:eastAsia="Calibri" w:hAnsi="Calibri"/>
          <w:color w:val="1F2937"/>
          <w:sz w:val="22"/>
          <w:szCs w:val="22"/>
        </w:rPr>
        <w:t xml:space="preserve"> Déficit majeur, qui est probablement le marqueur le plus parlant du tableau. Estimations grossièrement erronées : « combien de personnes dans une salle de classe ? » → « 100 » ; « combien de pages dans un livre de poche ? » → « 30 » ; « la taille d’un bus en mètres ? » → « 100 ». L’arrondi n’est pas une stratégie spontanément utilisée pour vérifier un calcul.</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 profil observé chez Hugo est celui d’une dyscalculie développementale, avec des atteintes sévères et diffuses des fonctions logico-mathématiques. Les scores aux tests normés TEDI-MATH et ZAREKI-R mettent en évidence des déficits sévères en numération, transcodage, calcul mental et posé, estimation et résolution de problèmes, avec un effondrement particulièrement marqué du sens du nombre et de l’estimation. La mémoire de travail numérique est également fragilisée, ce qui contribue à la lenteur et à la difficulté d’automatisation des procédures.</w:t>
      </w:r>
    </w:p>
    <w:p>
      <w:pPr>
        <w:spacing w:after="200" w:before="0" w:line="320"/>
      </w:pPr>
      <w:r>
        <w:rPr>
          <w:rFonts w:ascii="Calibri" w:cs="Calibri" w:eastAsia="Calibri" w:hAnsi="Calibri"/>
          <w:color w:val="1F2937"/>
          <w:sz w:val="22"/>
          <w:szCs w:val="22"/>
        </w:rPr>
        <w:t xml:space="preserve">Le langage oral et écrit, ainsi que la compréhension des énoncés, sont préservés, ce qui permet d’exclure un trouble du langage associé. L’histoire scolaire (difficultés persistantes malgré soutien régulier depuis le CE1), l’antécédent familial de dyscalculie, et l’absence d’autres facteurs explicatifs (trouble attentionnel, déficit sensoriel) renforcent l’hypothèse d’un trouble spécifique du développement des compétences logico-mathématiques.</w:t>
      </w:r>
    </w:p>
    <w:p>
      <w:pPr>
        <w:spacing w:after="200" w:before="0" w:line="320"/>
      </w:pPr>
      <w:r>
        <w:rPr>
          <w:rFonts w:ascii="Calibri" w:cs="Calibri" w:eastAsia="Calibri" w:hAnsi="Calibri"/>
          <w:color w:val="1F2937"/>
          <w:sz w:val="22"/>
          <w:szCs w:val="22"/>
        </w:rPr>
        <w:t xml:space="preserve">Le retentissement fonctionnel est majeur sur le plan scolaire, avec une moyenne en mathématiques très basse, une anxiété mathématique notable, et des difficultés qui s’étendent aux disciplines scientifiques dès lors qu’elles requièrent des traitements numériques. Les stratégies de coping développées par Hugo (motivation, demande d’aide, verbalisation des procédures) constituent néanmoins un facteur de pronostic favorable pour la rééducation.</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Au vu de la sévérité et de la diffusion des troubles logico-mathématiques, une prise en charge orthophonique spécialisée est indiquée. Celle-ci visera à renforcer les compétences numériques de base, à restaurer la confiance de Hugo dans la manipulation des nombres, et à développer des stratégies compensatoires adaptées à ses besoins scolaires et quotidiens.</w:t>
      </w:r>
    </w:p>
    <w:p>
      <w:pPr>
        <w:pStyle w:val="ListParagraph"/>
        <w:numPr>
          <w:ilvl w:val="0"/>
          <w:numId w:val="2"/>
        </w:numPr>
        <w:spacing w:after="100" w:before="60" w:line="320"/>
      </w:pPr>
      <w:r>
        <w:rPr>
          <w:rFonts w:ascii="Calibri" w:cs="Calibri" w:eastAsia="Calibri" w:hAnsi="Calibri"/>
          <w:b/>
          <w:bCs/>
          <w:color w:val="1F2937"/>
          <w:sz w:val="22"/>
          <w:szCs w:val="22"/>
        </w:rPr>
        <w:t xml:space="preserve">Automatisation des procédures numériques de base :</w:t>
      </w:r>
      <w:r>
        <w:rPr>
          <w:rFonts w:ascii="Calibri" w:cs="Calibri" w:eastAsia="Calibri" w:hAnsi="Calibri"/>
          <w:color w:val="1F2937"/>
          <w:sz w:val="22"/>
          <w:szCs w:val="22"/>
        </w:rPr>
        <w:t xml:space="preserve"> Travail sur la chaîne numérique, le dénombrement, et l’acquisition des automatismes des tables d’addition et de multiplication.</w:t>
      </w:r>
    </w:p>
    <w:p>
      <w:pPr>
        <w:pStyle w:val="ListParagraph"/>
        <w:numPr>
          <w:ilvl w:val="0"/>
          <w:numId w:val="2"/>
        </w:numPr>
        <w:spacing w:after="100" w:before="60" w:line="320"/>
      </w:pPr>
      <w:r>
        <w:rPr>
          <w:rFonts w:ascii="Calibri" w:cs="Calibri" w:eastAsia="Calibri" w:hAnsi="Calibri"/>
          <w:b/>
          <w:bCs/>
          <w:color w:val="1F2937"/>
          <w:sz w:val="22"/>
          <w:szCs w:val="22"/>
        </w:rPr>
        <w:t xml:space="preserve">Renforcement du transcodage et de la numération :</w:t>
      </w:r>
      <w:r>
        <w:rPr>
          <w:rFonts w:ascii="Calibri" w:cs="Calibri" w:eastAsia="Calibri" w:hAnsi="Calibri"/>
          <w:color w:val="1F2937"/>
          <w:sz w:val="22"/>
          <w:szCs w:val="22"/>
        </w:rPr>
        <w:t xml:space="preserve"> Exercices ciblés sur la lecture, l’écriture et la conversion des nombres, avec un accent particulier sur les nombres complexes et la gestion des zéros intercalaires.</w:t>
      </w:r>
    </w:p>
    <w:p>
      <w:pPr>
        <w:pStyle w:val="ListParagraph"/>
        <w:numPr>
          <w:ilvl w:val="0"/>
          <w:numId w:val="2"/>
        </w:numPr>
        <w:spacing w:after="100" w:before="60" w:line="320"/>
      </w:pPr>
      <w:r>
        <w:rPr>
          <w:rFonts w:ascii="Calibri" w:cs="Calibri" w:eastAsia="Calibri" w:hAnsi="Calibri"/>
          <w:b/>
          <w:bCs/>
          <w:color w:val="1F2937"/>
          <w:sz w:val="22"/>
          <w:szCs w:val="22"/>
        </w:rPr>
        <w:t xml:space="preserve">Remédiation des opérations arithmétiques :</w:t>
      </w:r>
      <w:r>
        <w:rPr>
          <w:rFonts w:ascii="Calibri" w:cs="Calibri" w:eastAsia="Calibri" w:hAnsi="Calibri"/>
          <w:color w:val="1F2937"/>
          <w:sz w:val="22"/>
          <w:szCs w:val="22"/>
        </w:rPr>
        <w:t xml:space="preserve"> Approche progressive du calcul mental et posé, avec mise en place de stratégies de vérification et d’auto-contrôle.</w:t>
      </w:r>
    </w:p>
    <w:p>
      <w:pPr>
        <w:pStyle w:val="ListParagraph"/>
        <w:numPr>
          <w:ilvl w:val="0"/>
          <w:numId w:val="2"/>
        </w:numPr>
        <w:spacing w:after="100" w:before="60" w:line="320"/>
      </w:pPr>
      <w:r>
        <w:rPr>
          <w:rFonts w:ascii="Calibri" w:cs="Calibri" w:eastAsia="Calibri" w:hAnsi="Calibri"/>
          <w:b/>
          <w:bCs/>
          <w:color w:val="1F2937"/>
          <w:sz w:val="22"/>
          <w:szCs w:val="22"/>
        </w:rPr>
        <w:t xml:space="preserve">Développement du sens du nombre et de l’estimation :</w:t>
      </w:r>
      <w:r>
        <w:rPr>
          <w:rFonts w:ascii="Calibri" w:cs="Calibri" w:eastAsia="Calibri" w:hAnsi="Calibri"/>
          <w:color w:val="1F2937"/>
          <w:sz w:val="22"/>
          <w:szCs w:val="22"/>
        </w:rPr>
        <w:t xml:space="preserve"> Activités d’estimation, de comparaison de grandeurs, et d’arrondi, pour favoriser la construction d’une représentation numérique plus stable.</w:t>
      </w:r>
    </w:p>
    <w:p>
      <w:pPr>
        <w:pStyle w:val="ListParagraph"/>
        <w:numPr>
          <w:ilvl w:val="0"/>
          <w:numId w:val="2"/>
        </w:numPr>
        <w:spacing w:after="100" w:before="60" w:line="320"/>
      </w:pPr>
      <w:r>
        <w:rPr>
          <w:rFonts w:ascii="Calibri" w:cs="Calibri" w:eastAsia="Calibri" w:hAnsi="Calibri"/>
          <w:b/>
          <w:bCs/>
          <w:color w:val="1F2937"/>
          <w:sz w:val="22"/>
          <w:szCs w:val="22"/>
        </w:rPr>
        <w:t xml:space="preserve">Résolution de problèmes et flexibilité opératoire :</w:t>
      </w:r>
      <w:r>
        <w:rPr>
          <w:rFonts w:ascii="Calibri" w:cs="Calibri" w:eastAsia="Calibri" w:hAnsi="Calibri"/>
          <w:color w:val="1F2937"/>
          <w:sz w:val="22"/>
          <w:szCs w:val="22"/>
        </w:rPr>
        <w:t xml:space="preserve"> Entraînement à l’analyse des énoncés, au choix des opérations, et à la planification des étapes de résolution.</w:t>
      </w:r>
    </w:p>
    <w:p>
      <w:pPr>
        <w:pStyle w:val="ListParagraph"/>
        <w:numPr>
          <w:ilvl w:val="0"/>
          <w:numId w:val="2"/>
        </w:numPr>
        <w:spacing w:after="100" w:before="60" w:line="320"/>
      </w:pPr>
      <w:r>
        <w:rPr>
          <w:rFonts w:ascii="Calibri" w:cs="Calibri" w:eastAsia="Calibri" w:hAnsi="Calibri"/>
          <w:b/>
          <w:bCs/>
          <w:color w:val="1F2937"/>
          <w:sz w:val="22"/>
          <w:szCs w:val="22"/>
        </w:rPr>
        <w:t xml:space="preserve">Gestion de l’anxiété mathématique :</w:t>
      </w:r>
      <w:r>
        <w:rPr>
          <w:rFonts w:ascii="Calibri" w:cs="Calibri" w:eastAsia="Calibri" w:hAnsi="Calibri"/>
          <w:color w:val="1F2937"/>
          <w:sz w:val="22"/>
          <w:szCs w:val="22"/>
        </w:rPr>
        <w:t xml:space="preserve"> Soutien à la confiance en soi, verbalisation des difficultés et valorisation des progrès, en lien avec la famille et l’équipe éducative.</w:t>
      </w:r>
    </w:p>
    <w:p>
      <w:pPr>
        <w:spacing w:after="120" w:before="0"/>
      </w:pPr>
      <w:r>
        <w:t xml:space="preserve"/>
      </w:r>
    </w:p>
    <w:p>
      <w:pPr>
        <w:spacing w:after="200" w:before="0" w:line="320"/>
      </w:pPr>
      <w:r>
        <w:rPr>
          <w:rFonts w:ascii="Calibri" w:cs="Calibri" w:eastAsia="Calibri" w:hAnsi="Calibri"/>
          <w:color w:val="1F2937"/>
          <w:sz w:val="22"/>
          <w:szCs w:val="22"/>
        </w:rPr>
        <w:t xml:space="preserve">Une prise en charge orthophonique régulière est recommandée, à raison de 50 séances au titre du code AMO 15,4. La fréquence optimale sera de deux séances hebdomadaires de 30 à 45 minutes, pour une durée minimale de 12 mois, avec réévaluation régulière des progrès et des besoins.</w:t>
      </w:r>
    </w:p>
    <w:p>
      <w:pPr>
        <w:spacing w:after="200" w:before="0" w:line="320"/>
      </w:pPr>
      <w:r>
        <w:rPr>
          <w:rFonts w:ascii="Calibri" w:cs="Calibri" w:eastAsia="Calibri" w:hAnsi="Calibri"/>
          <w:color w:val="1F2937"/>
          <w:sz w:val="22"/>
          <w:szCs w:val="22"/>
        </w:rPr>
        <w:t xml:space="preserve">Compte tenu du retentissement scolaire important, un courrier à la MDPH est recommandé afin d’envisager des aménagements pédagogiques adaptés (temps majoré, utilisation de supports visuels, calculatrice autorisée, etc.).</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Hugo Vermeille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Hugo Vermeille — Logico-mathématique</dc:title>
  <dc:creator>Orthonie</dc:creator>
  <dc:description>Compte-rendu de bilan orthophonique — Modèle Orthonie</dc:description>
  <cp:lastModifiedBy>Un-named</cp:lastModifiedBy>
  <cp:revision>1</cp:revision>
  <dcterms:created xsi:type="dcterms:W3CDTF">2026-05-02T18:05:37.632Z</dcterms:created>
  <dcterms:modified xsi:type="dcterms:W3CDTF">2026-05-02T18:05:37.649Z</dcterms:modified>
</cp:coreProperties>
</file>

<file path=docProps/custom.xml><?xml version="1.0" encoding="utf-8"?>
<Properties xmlns="http://schemas.openxmlformats.org/officeDocument/2006/custom-properties" xmlns:vt="http://schemas.openxmlformats.org/officeDocument/2006/docPropsVTypes"/>
</file>