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type="dxa" w:w="9746"/>
        <w:tblBorders>
          <w:top w:val="none" w:color="FFFFFF" w:sz="0"/>
          <w:left w:val="none" w:color="FFFFFF" w:sz="0"/>
          <w:bottom w:val="none" w:color="FFFFFF" w:sz="0"/>
          <w:right w:val="none" w:color="FFFFFF" w:sz="0"/>
          <w:insideH w:val="none" w:color="FFFFFF" w:sz="0"/>
          <w:insideV w:val="none" w:color="FFFFFF" w:sz="0"/>
        </w:tblBorders>
      </w:tblPr>
      <w:tblGrid>
        <w:gridCol w:w="5360"/>
        <w:gridCol w:w="4386"/>
      </w:tblGrid>
      <w:tr>
        <w:tc>
          <w:tcPr>
            <w:tcW w:type="dxa" w:w="5360"/>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pPr>
            <w:r>
              <w:rPr>
                <w:rFonts w:ascii="Cambria" w:cs="Cambria" w:eastAsia="Cambria" w:hAnsi="Cambria"/>
                <w:b/>
                <w:bCs/>
                <w:color w:val="1F2937"/>
                <w:sz w:val="32"/>
                <w:szCs w:val="32"/>
              </w:rPr>
              <w:t xml:space="preserve">Cabinet Ortho</w:t>
            </w:r>
          </w:p>
          <w:p>
            <w:pPr>
              <w:spacing w:after="40" w:before="0" w:line="280"/>
            </w:pPr>
            <w:r>
              <w:rPr>
                <w:rFonts w:ascii="Calibri" w:cs="Calibri" w:eastAsia="Calibri" w:hAnsi="Calibri"/>
                <w:color w:val="6B7280"/>
                <w:sz w:val="18"/>
                <w:szCs w:val="18"/>
              </w:rPr>
              <w:t xml:space="preserve">Rue du Chemin Neuf 22 · 75010 Paris</w:t>
            </w:r>
          </w:p>
          <w:p>
            <w:pPr>
              <w:spacing w:after="40" w:before="0" w:line="280"/>
            </w:pPr>
            <w:r>
              <w:rPr>
                <w:rFonts w:ascii="Calibri" w:cs="Calibri" w:eastAsia="Calibri" w:hAnsi="Calibri"/>
                <w:color w:val="6B7280"/>
                <w:sz w:val="18"/>
                <w:szCs w:val="18"/>
              </w:rPr>
              <w:t xml:space="preserve">+33456374625</w:t>
            </w:r>
          </w:p>
          <w:p>
            <w:pPr>
              <w:spacing w:after="0" w:before="0" w:line="280"/>
            </w:pPr>
            <w:r>
              <w:rPr>
                <w:rFonts w:ascii="Calibri" w:cs="Calibri" w:eastAsia="Calibri" w:hAnsi="Calibri"/>
                <w:color w:val="6B7280"/>
                <w:sz w:val="18"/>
                <w:szCs w:val="18"/>
              </w:rPr>
              <w:t xml:space="preserve">ADELI 7512637434</w:t>
            </w:r>
          </w:p>
        </w:tc>
        <w:tc>
          <w:tcPr>
            <w:tcW w:type="dxa" w:w="4386"/>
            <w:tcBorders>
              <w:top w:val="none" w:color="FFFFFF" w:sz="0"/>
              <w:left w:val="none" w:color="FFFFFF" w:sz="0"/>
              <w:bottom w:val="none" w:color="FFFFFF" w:sz="0"/>
              <w:right w:val="none" w:color="FFFFFF" w:sz="0"/>
            </w:tcBorders>
            <w:tcMar>
              <w:top w:type="dxa" w:w="0"/>
              <w:left w:type="dxa" w:w="0"/>
              <w:bottom w:type="dxa" w:w="0"/>
              <w:right w:type="dxa" w:w="0"/>
            </w:tcMar>
            <w:vAlign w:val="bottom"/>
          </w:tcPr>
          <w:p>
            <w:pPr>
              <w:spacing w:after="40" w:before="0" w:line="280"/>
              <w:jc w:val="right"/>
            </w:pPr>
            <w:r>
              <w:rPr>
                <w:rFonts w:ascii="Calibri" w:cs="Calibri" w:eastAsia="Calibri" w:hAnsi="Calibri"/>
                <w:color w:val="6B7280"/>
                <w:sz w:val="18"/>
                <w:szCs w:val="18"/>
              </w:rPr>
              <w:t xml:space="preserve">Fait le 2 mai 2026</w:t>
            </w:r>
          </w:p>
          <w:p>
            <w:pPr>
              <w:spacing w:after="0" w:before="0" w:line="280"/>
              <w:jc w:val="right"/>
            </w:pPr>
            <w:r>
              <w:rPr>
                <w:rFonts w:ascii="Calibri" w:cs="Calibri" w:eastAsia="Calibri" w:hAnsi="Calibri"/>
                <w:color w:val="6B7280"/>
                <w:sz w:val="18"/>
                <w:szCs w:val="18"/>
              </w:rPr>
              <w:t xml:space="preserve">Patient : Léo Beauvallet (6 ans)</w:t>
            </w:r>
          </w:p>
        </w:tc>
      </w:tr>
    </w:tbl>
    <w:p>
      <w:pPr>
        <w:pBdr>
          <w:bottom w:val="single" w:color="6D28D9" w:sz="12" w:space="1"/>
        </w:pBdr>
        <w:spacing w:after="220" w:before="200"/>
      </w:pPr>
      <w:r>
        <w:t xml:space="preserve"/>
      </w:r>
    </w:p>
    <w:p>
      <w:pPr>
        <w:spacing w:after="100" w:before="240"/>
        <w:jc w:val="center"/>
      </w:pPr>
      <w:r>
        <w:rPr>
          <w:rFonts w:ascii="Cambria" w:cs="Cambria" w:eastAsia="Cambria" w:hAnsi="Cambria"/>
          <w:b/>
          <w:bCs/>
          <w:color w:val="6D28D9"/>
          <w:sz w:val="44"/>
          <w:szCs w:val="44"/>
        </w:rPr>
        <w:t xml:space="preserve">Compte-rendu de bilan orthophonique</w:t>
      </w:r>
    </w:p>
    <w:p>
      <w:pPr>
        <w:spacing w:after="360" w:before="0" w:line="320"/>
        <w:jc w:val="center"/>
      </w:pPr>
      <w:r>
        <w:rPr>
          <w:rFonts w:ascii="Calibri" w:cs="Calibri" w:eastAsia="Calibri" w:hAnsi="Calibri"/>
          <w:color w:val="6B7280"/>
          <w:spacing w:val="30"/>
          <w:sz w:val="20"/>
          <w:szCs w:val="20"/>
        </w:rPr>
        <w:t xml:space="preserve">BILAN INITIAL · BILAN DES FONCTIONS ORO-MYO-FACIALES</w:t>
      </w:r>
    </w:p>
    <w:tbl>
      <w:tblPr>
        <w:tblW w:type="dxa" w:w="9746"/>
        <w:tblBorders>
          <w:top w:val="none" w:color="FFFFFF" w:sz="0"/>
          <w:left w:val="none" w:color="FFFFFF" w:sz="0"/>
          <w:bottom w:val="none" w:color="FFFFFF" w:sz="0"/>
          <w:right w:val="none" w:color="FFFFFF" w:sz="0"/>
          <w:insideH w:val="none" w:color="FFFFFF" w:sz="0"/>
          <w:insideV w:val="none" w:color="FFFFFF" w:sz="0"/>
        </w:tblBorders>
      </w:tblPr>
      <w:tblGrid>
        <w:gridCol w:w="4873"/>
        <w:gridCol w:w="4873"/>
      </w:tblGrid>
      <w:tr>
        <w:tc>
          <w:tcPr>
            <w:tcW w:type="dxa" w:w="4873"/>
            <w:tcBorders>
              <w:top w:val="none" w:color="FFFFFF" w:sz="0"/>
              <w:left w:val="none" w:color="FFFFFF" w:sz="0"/>
              <w:bottom w:val="none" w:color="FFFFFF" w:sz="0"/>
              <w:right w:val="none" w:color="FFFFFF" w:sz="0"/>
            </w:tcBorders>
            <w:shd w:fill="F4F2FB" w:color="auto" w:val="clear"/>
            <w:tcMar>
              <w:top w:type="dxa" w:w="280"/>
              <w:left w:type="dxa" w:w="320"/>
              <w:bottom w:type="dxa" w:w="280"/>
              <w:right w:type="dxa" w:w="240"/>
            </w:tcMar>
          </w:tcPr>
          <w:p>
            <w:pPr>
              <w:spacing w:after="90" w:before="0" w:line="320"/>
            </w:pPr>
            <w:r>
              <w:rPr>
                <w:rFonts w:ascii="Calibri" w:cs="Calibri" w:eastAsia="Calibri" w:hAnsi="Calibri"/>
                <w:b/>
                <w:bCs/>
                <w:color w:val="1F2937"/>
                <w:sz w:val="22"/>
                <w:szCs w:val="22"/>
              </w:rPr>
              <w:t xml:space="preserve">Prénom : </w:t>
            </w:r>
            <w:r>
              <w:rPr>
                <w:rFonts w:ascii="Calibri" w:cs="Calibri" w:eastAsia="Calibri" w:hAnsi="Calibri"/>
                <w:color w:val="1F2937"/>
                <w:sz w:val="22"/>
                <w:szCs w:val="22"/>
              </w:rPr>
              <w:t xml:space="preserve">Léo</w:t>
            </w:r>
          </w:p>
          <w:p>
            <w:pPr>
              <w:spacing w:after="90" w:before="0" w:line="320"/>
            </w:pPr>
            <w:r>
              <w:rPr>
                <w:rFonts w:ascii="Calibri" w:cs="Calibri" w:eastAsia="Calibri" w:hAnsi="Calibri"/>
                <w:b/>
                <w:bCs/>
                <w:color w:val="1F2937"/>
                <w:sz w:val="22"/>
                <w:szCs w:val="22"/>
              </w:rPr>
              <w:t xml:space="preserve">Sexe : </w:t>
            </w:r>
            <w:r>
              <w:rPr>
                <w:rFonts w:ascii="Calibri" w:cs="Calibri" w:eastAsia="Calibri" w:hAnsi="Calibri"/>
                <w:color w:val="1F2937"/>
                <w:sz w:val="22"/>
                <w:szCs w:val="22"/>
              </w:rPr>
              <w:t xml:space="preserve">masculin</w:t>
            </w:r>
          </w:p>
          <w:p>
            <w:pPr>
              <w:spacing w:after="90" w:before="0" w:line="320"/>
            </w:pPr>
            <w:r>
              <w:rPr>
                <w:rFonts w:ascii="Calibri" w:cs="Calibri" w:eastAsia="Calibri" w:hAnsi="Calibri"/>
                <w:b/>
                <w:bCs/>
                <w:color w:val="1F2937"/>
                <w:sz w:val="22"/>
                <w:szCs w:val="22"/>
              </w:rPr>
              <w:t xml:space="preserve">Date de naissance : </w:t>
            </w:r>
            <w:r>
              <w:rPr>
                <w:rFonts w:ascii="Calibri" w:cs="Calibri" w:eastAsia="Calibri" w:hAnsi="Calibri"/>
                <w:color w:val="1F2937"/>
                <w:sz w:val="22"/>
                <w:szCs w:val="22"/>
              </w:rPr>
              <w:t xml:space="preserve">3 décembre 2019</w:t>
            </w:r>
          </w:p>
          <w:p>
            <w:pPr>
              <w:spacing w:after="90" w:before="0" w:line="320"/>
            </w:pPr>
            <w:r>
              <w:rPr>
                <w:rFonts w:ascii="Calibri" w:cs="Calibri" w:eastAsia="Calibri" w:hAnsi="Calibri"/>
                <w:b/>
                <w:bCs/>
                <w:color w:val="1F2937"/>
                <w:sz w:val="22"/>
                <w:szCs w:val="22"/>
              </w:rPr>
              <w:t xml:space="preserve">Âge : </w:t>
            </w:r>
            <w:r>
              <w:rPr>
                <w:rFonts w:ascii="Calibri" w:cs="Calibri" w:eastAsia="Calibri" w:hAnsi="Calibri"/>
                <w:color w:val="1F2937"/>
                <w:sz w:val="22"/>
                <w:szCs w:val="22"/>
              </w:rPr>
              <w:t xml:space="preserve">6 ans 5 mois</w:t>
            </w:r>
          </w:p>
        </w:tc>
        <w:tc>
          <w:tcPr>
            <w:tcW w:type="dxa" w:w="4873"/>
            <w:tcBorders>
              <w:top w:val="none" w:color="FFFFFF" w:sz="0"/>
              <w:left w:val="none" w:color="FFFFFF" w:sz="0"/>
              <w:bottom w:val="none" w:color="FFFFFF" w:sz="0"/>
              <w:right w:val="none" w:color="FFFFFF" w:sz="0"/>
            </w:tcBorders>
            <w:shd w:fill="F4F2FB" w:color="auto" w:val="clear"/>
            <w:tcMar>
              <w:top w:type="dxa" w:w="280"/>
              <w:left w:type="dxa" w:w="240"/>
              <w:bottom w:type="dxa" w:w="280"/>
              <w:right w:type="dxa" w:w="320"/>
            </w:tcMar>
          </w:tcPr>
          <w:p>
            <w:pPr>
              <w:spacing w:after="90" w:before="0" w:line="320"/>
            </w:pPr>
            <w:r>
              <w:rPr>
                <w:rFonts w:ascii="Calibri" w:cs="Calibri" w:eastAsia="Calibri" w:hAnsi="Calibri"/>
                <w:b/>
                <w:bCs/>
                <w:color w:val="1F2937"/>
                <w:sz w:val="22"/>
                <w:szCs w:val="22"/>
              </w:rPr>
              <w:t xml:space="preserve">Niveau scolaire : </w:t>
            </w:r>
            <w:r>
              <w:rPr>
                <w:rFonts w:ascii="Calibri" w:cs="Calibri" w:eastAsia="Calibri" w:hAnsi="Calibri"/>
                <w:color w:val="1F2937"/>
                <w:sz w:val="22"/>
                <w:szCs w:val="22"/>
              </w:rPr>
              <w:t xml:space="preserve">CP</w:t>
            </w:r>
          </w:p>
          <w:p>
            <w:pPr>
              <w:spacing w:after="90" w:before="0" w:line="320"/>
            </w:pPr>
            <w:r>
              <w:rPr>
                <w:rFonts w:ascii="Calibri" w:cs="Calibri" w:eastAsia="Calibri" w:hAnsi="Calibri"/>
                <w:b/>
                <w:bCs/>
                <w:color w:val="1F2937"/>
                <w:sz w:val="22"/>
                <w:szCs w:val="22"/>
              </w:rPr>
              <w:t xml:space="preserve">Adressant : </w:t>
            </w:r>
            <w:r>
              <w:rPr>
                <w:rFonts w:ascii="Calibri" w:cs="Calibri" w:eastAsia="Calibri" w:hAnsi="Calibri"/>
                <w:color w:val="1F2937"/>
                <w:sz w:val="22"/>
                <w:szCs w:val="22"/>
              </w:rPr>
              <w:t xml:space="preserve">Dr. Camille Auriol, orthodontiste</w:t>
            </w:r>
          </w:p>
          <w:p>
            <w:pPr>
              <w:spacing w:after="90" w:before="0" w:line="320"/>
            </w:pPr>
            <w:r>
              <w:rPr>
                <w:rFonts w:ascii="Calibri" w:cs="Calibri" w:eastAsia="Calibri" w:hAnsi="Calibri"/>
                <w:b/>
                <w:bCs/>
                <w:color w:val="1F2937"/>
                <w:sz w:val="22"/>
                <w:szCs w:val="22"/>
              </w:rPr>
              <w:t xml:space="preserve">Date du bilan : </w:t>
            </w:r>
            <w:r>
              <w:rPr>
                <w:rFonts w:ascii="Calibri" w:cs="Calibri" w:eastAsia="Calibri" w:hAnsi="Calibri"/>
                <w:color w:val="1F2937"/>
                <w:sz w:val="22"/>
                <w:szCs w:val="22"/>
              </w:rPr>
              <w:t xml:space="preserve">2 mai 2026</w:t>
            </w:r>
          </w:p>
        </w:tc>
      </w:tr>
    </w:tbl>
    <w:p>
      <w:pPr>
        <w:spacing w:after="220" w:before="360"/>
      </w:pPr>
      <w:r>
        <w:rPr>
          <w:rFonts w:ascii="Cambria" w:cs="Cambria" w:eastAsia="Cambria" w:hAnsi="Cambria"/>
          <w:b/>
          <w:bCs/>
          <w:color w:val="6D28D9"/>
          <w:sz w:val="30"/>
          <w:szCs w:val="30"/>
        </w:rPr>
        <w:t xml:space="preserve">Motif de consultation</w:t>
      </w:r>
    </w:p>
    <w:p>
      <w:pPr>
        <w:spacing w:after="200" w:before="0" w:line="320"/>
      </w:pPr>
      <w:r>
        <w:rPr>
          <w:rFonts w:ascii="Calibri" w:cs="Calibri" w:eastAsia="Calibri" w:hAnsi="Calibri"/>
          <w:color w:val="1F2937"/>
          <w:sz w:val="22"/>
          <w:szCs w:val="22"/>
        </w:rPr>
        <w:t xml:space="preserve">Léo, âgé de 6 ans et 5 mois, scolarisé en classe de CP, a été adressé pour un bilan oro-myo-fonctionnel à la demande du Dr Auriol, orthodontiste, en vue d’une rééducation pré-orthodontique. Cette demande fait suite à la découverte d’une malocclusion débutante (classe II division 1 avec béance antérieure et palais ogival) et d’un trouble fonctionnel oro-facial évident lors de l’examen dentaire. Les parents et l’équipe éducative rapportent des plaintes telles que des ronflements nocturnes, une bouche ouverte au repos et un sigmatisme antérieur observé depuis la moyenne section. Le bilan est donc motivé par la nécessité de préparer une prise en charge orthodontique conditionnée à une rééducation oro-myo-fonctionnelle préalable.</w:t>
      </w:r>
    </w:p>
    <w:p>
      <w:pPr>
        <w:spacing w:after="220" w:before="360"/>
      </w:pPr>
      <w:r>
        <w:rPr>
          <w:rFonts w:ascii="Cambria" w:cs="Cambria" w:eastAsia="Cambria" w:hAnsi="Cambria"/>
          <w:b/>
          <w:bCs/>
          <w:color w:val="6D28D9"/>
          <w:sz w:val="30"/>
          <w:szCs w:val="30"/>
        </w:rPr>
        <w:t xml:space="preserve">Anamnèse</w:t>
      </w:r>
    </w:p>
    <w:p>
      <w:pPr>
        <w:spacing w:after="200" w:before="0" w:line="320"/>
      </w:pPr>
      <w:r>
        <w:rPr>
          <w:rFonts w:ascii="Calibri" w:cs="Calibri" w:eastAsia="Calibri" w:hAnsi="Calibri"/>
          <w:color w:val="1F2937"/>
          <w:sz w:val="22"/>
          <w:szCs w:val="22"/>
        </w:rPr>
        <w:t xml:space="preserve">Léo est le second enfant d’une fratrie de deux. Aucun antécédent médical notable n’est rapporté, à l’exception d’otites séreuses récurrentes entre 2 et 3 ans, ayant nécessité la pose de drains transtympaniques bilatéraux à l’âge de 3 ans. Ces drains ont depuis été expulsés naturellement et l’audition, contrôlée annuellement par un ORL, est normalisée depuis l’intervention.</w:t>
      </w:r>
    </w:p>
    <w:p>
      <w:pPr>
        <w:spacing w:after="200" w:before="0" w:line="320"/>
      </w:pPr>
      <w:r>
        <w:rPr>
          <w:rFonts w:ascii="Calibri" w:cs="Calibri" w:eastAsia="Calibri" w:hAnsi="Calibri"/>
          <w:color w:val="1F2937"/>
          <w:sz w:val="22"/>
          <w:szCs w:val="22"/>
        </w:rPr>
        <w:t xml:space="preserve">Les étapes motrices et langagières ont été acquises dans les normes. L’allaitement maternel a été de courte durée (1 mois exclusif), suivi d’une alimentation au biberon. Une succion non nutritive par tétine a été introduite précocement et maintenue jusqu’à l’âge de 4 ans, le sevrage ayant été jugé tardif et difficile par les parents. Une succion du pouce occasionnelle a également été notée entre 4 et 5 ans, mais elle a cessé depuis.</w:t>
      </w:r>
    </w:p>
    <w:p>
      <w:pPr>
        <w:spacing w:after="200" w:before="0" w:line="320"/>
      </w:pPr>
      <w:r>
        <w:rPr>
          <w:rFonts w:ascii="Calibri" w:cs="Calibri" w:eastAsia="Calibri" w:hAnsi="Calibri"/>
          <w:color w:val="1F2937"/>
          <w:sz w:val="22"/>
          <w:szCs w:val="22"/>
        </w:rPr>
        <w:t xml:space="preserve">Sur le plan scolaire, aucun retard ni difficulté d’apprentissage n’est signalé. L’enseignante de CP décrit un enfant attentif, en bonne progression en lecture, sans inquiétude particulière concernant le langage oral.</w:t>
      </w:r>
    </w:p>
    <w:p>
      <w:pPr>
        <w:spacing w:after="220" w:before="360"/>
      </w:pPr>
      <w:r>
        <w:rPr>
          <w:rFonts w:ascii="Cambria" w:cs="Cambria" w:eastAsia="Cambria" w:hAnsi="Cambria"/>
          <w:b/>
          <w:bCs/>
          <w:color w:val="6D28D9"/>
          <w:sz w:val="30"/>
          <w:szCs w:val="30"/>
        </w:rPr>
        <w:t xml:space="preserve">Observations cliniques</w:t>
      </w:r>
    </w:p>
    <w:p>
      <w:pPr>
        <w:spacing w:after="200" w:before="0" w:line="320"/>
      </w:pPr>
      <w:r>
        <w:rPr>
          <w:rFonts w:ascii="Calibri" w:cs="Calibri" w:eastAsia="Calibri" w:hAnsi="Calibri"/>
          <w:color w:val="1F2937"/>
          <w:sz w:val="22"/>
          <w:szCs w:val="22"/>
        </w:rPr>
        <w:t xml:space="preserve">Léo s’est présenté au bilan accompagné de sa maman. Il a manifesté une excellente coopération tout au long de la séance, avec une motivation ludique marquée et une bonne tolérance aux différentes épreuves praxiques. L’observation libre a permis de noter une bouche entrouverte au repos quasi-permanente, une langue visible reposant sur l’arcade dentaire inférieure, ainsi qu’une lèvre supérieure courte et passive. Les déglutitions de salive étaient fréquentes, accompagnées d’une contraction visible des muscles mentonniers. La voix de Léo présentait une légère nasalisation à l’écoute spontanée.</w:t>
      </w:r>
    </w:p>
    <w:p>
      <w:pPr>
        <w:spacing w:after="200" w:before="0" w:line="320"/>
      </w:pPr>
      <w:r>
        <w:rPr>
          <w:rFonts w:ascii="Calibri" w:cs="Calibri" w:eastAsia="Calibri" w:hAnsi="Calibri"/>
          <w:color w:val="1F2937"/>
          <w:sz w:val="22"/>
          <w:szCs w:val="22"/>
        </w:rPr>
        <w:t xml:space="preserve">La passation des tests s’est déroulée dans de bonnes conditions, sans fatigabilité excessive, et l’enfant s’est montré impliqué dans les tâches proposées. Aucun comportement d’évitement ni de retrait n’a été observé, et la communication verbale était adaptée à la situation d’évaluation.</w:t>
      </w:r>
    </w:p>
    <w:p>
      <w:pPr>
        <w:spacing w:after="220" w:before="360"/>
      </w:pPr>
      <w:r>
        <w:rPr>
          <w:rFonts w:ascii="Cambria" w:cs="Cambria" w:eastAsia="Cambria" w:hAnsi="Cambria"/>
          <w:b/>
          <w:bCs/>
          <w:color w:val="6D28D9"/>
          <w:sz w:val="30"/>
          <w:szCs w:val="30"/>
        </w:rPr>
        <w:t xml:space="preserve">Tests normés et résultats</w:t>
      </w:r>
    </w:p>
    <w:p>
      <w:pPr>
        <w:numPr>
          <w:ilvl w:val="0"/>
          <w:numId w:val="1"/>
        </w:numPr>
        <w:spacing w:after="120" w:before="0" w:line="320"/>
      </w:pPr>
      <w:r>
        <w:rPr>
          <w:rFonts w:ascii="Calibri" w:cs="Calibri" w:eastAsia="Calibri" w:hAnsi="Calibri"/>
          <w:color w:val="1F2937"/>
          <w:sz w:val="22"/>
          <w:szCs w:val="22"/>
        </w:rPr>
        <w:t xml:space="preserve">Grille OMF (grille d'évaluation oro-myo-faciale)</w:t>
      </w:r>
    </w:p>
    <w:p>
      <w:pPr>
        <w:numPr>
          <w:ilvl w:val="0"/>
          <w:numId w:val="1"/>
        </w:numPr>
        <w:spacing w:after="120" w:before="0" w:line="320"/>
      </w:pPr>
      <w:r>
        <w:rPr>
          <w:rFonts w:ascii="Calibri" w:cs="Calibri" w:eastAsia="Calibri" w:hAnsi="Calibri"/>
          <w:color w:val="1F2937"/>
          <w:sz w:val="22"/>
          <w:szCs w:val="22"/>
        </w:rPr>
        <w:t xml:space="preserve">MBLF (Examen Moteur Bucco-Linguo-Facial)</w:t>
      </w:r>
    </w:p>
    <w:p>
      <w:pPr>
        <w:spacing w:after="180" w:before="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4982"/>
        <w:gridCol w:w="1782"/>
        <w:gridCol w:w="2982"/>
      </w:tblGrid>
      <w:tr>
        <w:trPr>
          <w:tblHeader/>
        </w:trPr>
        <w:tc>
          <w:tcPr>
            <w:tcW w:type="dxa" w:w="4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TEST / SOUS-TEST</w:t>
            </w:r>
          </w:p>
        </w:tc>
        <w:tc>
          <w:tcPr>
            <w:tcW w:type="dxa" w:w="17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SCORE</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INTERPRÉTATION</w:t>
            </w:r>
          </w:p>
        </w:tc>
      </w:tr>
      <w:tr>
        <w:trPr>
          <w:cantSplit/>
        </w:trPr>
        <w:tc>
          <w:tcPr>
            <w:tcW w:type="dxa" w:w="4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MBLF – Praxies labiales</w:t>
            </w:r>
          </w:p>
        </w:tc>
        <w:tc>
          <w:tcPr>
            <w:tcW w:type="dxa" w:w="1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12/20</w:t>
            </w:r>
          </w:p>
        </w:tc>
        <w:tc>
          <w:tcPr>
            <w:tcW w:type="dxa" w:w="29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Fragile</w:t>
            </w:r>
          </w:p>
        </w:tc>
      </w:tr>
      <w:tr>
        <w:trPr>
          <w:cantSplit/>
        </w:trPr>
        <w:tc>
          <w:tcPr>
            <w:tcW w:type="dxa" w:w="4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MBLF – Praxies linguales</w:t>
            </w:r>
          </w:p>
        </w:tc>
        <w:tc>
          <w:tcPr>
            <w:tcW w:type="dxa" w:w="1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8/20</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912018"/>
                <w:sz w:val="22"/>
                <w:szCs w:val="22"/>
              </w:rPr>
              <w:t xml:space="preserve">Déficit modéré-sévère</w:t>
            </w:r>
          </w:p>
        </w:tc>
      </w:tr>
      <w:tr>
        <w:trPr>
          <w:cantSplit/>
        </w:trPr>
        <w:tc>
          <w:tcPr>
            <w:tcW w:type="dxa" w:w="4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MBLF – Praxies vélaires</w:t>
            </w:r>
          </w:p>
        </w:tc>
        <w:tc>
          <w:tcPr>
            <w:tcW w:type="dxa" w:w="1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14/20</w:t>
            </w:r>
          </w:p>
        </w:tc>
        <w:tc>
          <w:tcPr>
            <w:tcW w:type="dxa" w:w="29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Norme inférieure</w:t>
            </w:r>
          </w:p>
        </w:tc>
      </w:tr>
      <w:tr>
        <w:trPr>
          <w:cantSplit/>
        </w:trPr>
        <w:tc>
          <w:tcPr>
            <w:tcW w:type="dxa" w:w="4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MBLF – Praxies mandibulaires</w:t>
            </w:r>
          </w:p>
        </w:tc>
        <w:tc>
          <w:tcPr>
            <w:tcW w:type="dxa" w:w="1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16/20</w:t>
            </w:r>
          </w:p>
        </w:tc>
        <w:tc>
          <w:tcPr>
            <w:tcW w:type="dxa" w:w="2982"/>
            <w:tcBorders>
              <w:top w:val="single" w:color="E5E7EB" w:sz="4"/>
              <w:left w:val="single" w:color="12B76A" w:sz="28"/>
              <w:bottom w:val="single" w:color="E5E7EB" w:sz="4"/>
              <w:right w:val="single" w:color="E5E7EB" w:sz="4"/>
            </w:tcBorders>
            <w:shd w:fill="D1FADF"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027A48"/>
                <w:sz w:val="22"/>
                <w:szCs w:val="22"/>
              </w:rPr>
              <w:t xml:space="preserve">Norme</w:t>
            </w:r>
          </w:p>
        </w:tc>
      </w:tr>
      <w:tr>
        <w:trPr>
          <w:cantSplit/>
        </w:trPr>
        <w:tc>
          <w:tcPr>
            <w:tcW w:type="dxa" w:w="4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MBLF – Score global</w:t>
            </w:r>
          </w:p>
        </w:tc>
        <w:tc>
          <w:tcPr>
            <w:tcW w:type="dxa" w:w="1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50/80</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4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Grille OMF – Posture orale au repos</w:t>
            </w:r>
          </w:p>
        </w:tc>
        <w:tc>
          <w:tcPr>
            <w:tcW w:type="dxa" w:w="1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4/10</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Déficitaire</w:t>
            </w:r>
          </w:p>
        </w:tc>
      </w:tr>
      <w:tr>
        <w:trPr>
          <w:cantSplit/>
        </w:trPr>
        <w:tc>
          <w:tcPr>
            <w:tcW w:type="dxa" w:w="4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Grille OMF – Ventilation</w:t>
            </w:r>
          </w:p>
        </w:tc>
        <w:tc>
          <w:tcPr>
            <w:tcW w:type="dxa" w:w="1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3/10</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912018"/>
                <w:sz w:val="22"/>
                <w:szCs w:val="22"/>
              </w:rPr>
              <w:t xml:space="preserve">Déficit modéré-sévère</w:t>
            </w:r>
          </w:p>
        </w:tc>
      </w:tr>
      <w:tr>
        <w:trPr>
          <w:cantSplit/>
        </w:trPr>
        <w:tc>
          <w:tcPr>
            <w:tcW w:type="dxa" w:w="4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Grille OMF – Déglutition</w:t>
            </w:r>
          </w:p>
        </w:tc>
        <w:tc>
          <w:tcPr>
            <w:tcW w:type="dxa" w:w="1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3/10</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912018"/>
                <w:sz w:val="22"/>
                <w:szCs w:val="22"/>
              </w:rPr>
              <w:t xml:space="preserve">Déficit modéré-sévère</w:t>
            </w:r>
          </w:p>
        </w:tc>
      </w:tr>
      <w:tr>
        <w:trPr>
          <w:cantSplit/>
        </w:trPr>
        <w:tc>
          <w:tcPr>
            <w:tcW w:type="dxa" w:w="4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Grille OMF – Articulation / phonation</w:t>
            </w:r>
          </w:p>
        </w:tc>
        <w:tc>
          <w:tcPr>
            <w:tcW w:type="dxa" w:w="1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6/10</w:t>
            </w:r>
          </w:p>
        </w:tc>
        <w:tc>
          <w:tcPr>
            <w:tcW w:type="dxa" w:w="29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Sigmatisme antérieur isolé</w:t>
            </w:r>
          </w:p>
        </w:tc>
      </w:tr>
      <w:tr>
        <w:trPr>
          <w:cantSplit/>
        </w:trPr>
        <w:tc>
          <w:tcPr>
            <w:tcW w:type="dxa" w:w="4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Grille OMF – Score global</w:t>
            </w:r>
          </w:p>
        </w:tc>
        <w:tc>
          <w:tcPr>
            <w:tcW w:type="dxa" w:w="1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16/40</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bl>
    <w:p>
      <w:pPr>
        <w:spacing w:after="220" w:before="0"/>
      </w:pPr>
      <w:r>
        <w:t xml:space="preserve"/>
      </w:r>
    </w:p>
    <w:p>
      <w:pPr>
        <w:spacing w:after="220" w:before="360"/>
      </w:pPr>
      <w:r>
        <w:rPr>
          <w:rFonts w:ascii="Cambria" w:cs="Cambria" w:eastAsia="Cambria" w:hAnsi="Cambria"/>
          <w:b/>
          <w:bCs/>
          <w:color w:val="6D28D9"/>
          <w:sz w:val="30"/>
          <w:szCs w:val="30"/>
        </w:rPr>
        <w:t xml:space="preserve">Évaluation des fonctions oro-myo-faciales</w:t>
      </w:r>
    </w:p>
    <w:p>
      <w:pPr>
        <w:spacing w:after="200" w:before="0" w:line="320"/>
      </w:pPr>
      <w:r>
        <w:rPr>
          <w:rFonts w:ascii="Calibri" w:cs="Calibri" w:eastAsia="Calibri" w:hAnsi="Calibri"/>
          <w:color w:val="1F2937"/>
          <w:sz w:val="22"/>
          <w:szCs w:val="22"/>
        </w:rPr>
        <w:t xml:space="preserve">L’évaluation des fonctions oro-myo-faciales a été conduite à l’aide de la Grille OMF (grille d’évaluation oro-myo-faciale) et du MBLF (Examen Moteur Bucco-Linguo-Facial), complétées par une observation clinique structurée en situation de repos, d’effort et lors de la réalisation de tâches alimentaires et articulatoires. Les conditions de passation étaient optimales, permettant une analyse détaillée des différents axes fonctionnels.</w:t>
      </w:r>
    </w:p>
    <w:p>
      <w:pPr>
        <w:keepNext/>
        <w:keepLines/>
        <w:spacing w:after="220" w:before="360"/>
      </w:pPr>
      <w:r>
        <w:rPr>
          <w:rFonts w:ascii="Cambria" w:cs="Cambria" w:eastAsia="Cambria" w:hAnsi="Cambria"/>
          <w:b/>
          <w:bCs/>
          <w:color w:val="6D28D9"/>
          <w:sz w:val="30"/>
          <w:szCs w:val="30"/>
        </w:rPr>
        <w:t xml:space="preserve">Praxies bucco-faciales (langue, lèvres, mandibule)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982"/>
        <w:gridCol w:w="3782"/>
        <w:gridCol w:w="2982"/>
      </w:tblGrid>
      <w:tr>
        <w:trPr>
          <w:tblHeader/>
        </w:trPr>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 / ÉLÉMENT OBSERVÉ</w:t>
            </w:r>
          </w:p>
        </w:tc>
        <w:tc>
          <w:tcPr>
            <w:tcW w:type="dxa" w:w="37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OBSERVATION</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INTERPRÉTATION</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Praxies linguales</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Protraction préservée, latéralisation droite/gauche limitée, élévation linguale difficile, abaissement OK, claquement de langue faible, vibration linguale non acquise</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912018"/>
                <w:sz w:val="22"/>
                <w:szCs w:val="22"/>
              </w:rPr>
              <w:t xml:space="preserve">Déficit modéré-sévère</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Praxies labiales</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Sourire fragile, baiser sonore peu intense, alternance « ouli » lente, gonflement joues asymétrique avec fuite</w:t>
            </w:r>
          </w:p>
        </w:tc>
        <w:tc>
          <w:tcPr>
            <w:tcW w:type="dxa" w:w="29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Fragilité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Praxies vélaires</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Élévation du voile du palais préservée, pas de trouble vélo-pharyngien organique</w:t>
            </w:r>
          </w:p>
        </w:tc>
        <w:tc>
          <w:tcPr>
            <w:tcW w:type="dxa" w:w="29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Norme inférieure</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Praxies mandibulaires</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Ouverture-fermeture symétrique, latéralisation et propulsion correctes, pas de bruit articulaire</w:t>
            </w:r>
          </w:p>
        </w:tc>
        <w:tc>
          <w:tcPr>
            <w:tcW w:type="dxa" w:w="2982"/>
            <w:tcBorders>
              <w:top w:val="single" w:color="E5E7EB" w:sz="4"/>
              <w:left w:val="single" w:color="12B76A" w:sz="28"/>
              <w:bottom w:val="single" w:color="E5E7EB" w:sz="4"/>
              <w:right w:val="single" w:color="E5E7EB" w:sz="4"/>
            </w:tcBorders>
            <w:shd w:fill="D1FADF"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027A48"/>
                <w:sz w:val="22"/>
                <w:szCs w:val="22"/>
              </w:rPr>
              <w:t xml:space="preserve">Norme</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L’évaluation met en évidence des difficultés notables sur les praxies linguales, avec des limitations marquées en latéralisation et en élévation, ainsi qu’une faiblesse du claquement et de la vibration linguale. Les praxies labiales montrent une fragilité, notamment dans l’intensité du baiser sonore et l’alternance motrice. Les praxies vélaires sont dans la norme inférieure, tandis que les praxies mandibulaires sont préservées. Ce profil est cohérent avec une dysfonction oro-myo-faciale centrée sur la sphère linguale et labiale.</w:t>
      </w:r>
    </w:p>
    <w:p>
      <w:pPr>
        <w:keepNext/>
        <w:keepLines/>
        <w:spacing w:after="220" w:before="360"/>
      </w:pPr>
      <w:r>
        <w:rPr>
          <w:rFonts w:ascii="Cambria" w:cs="Cambria" w:eastAsia="Cambria" w:hAnsi="Cambria"/>
          <w:b/>
          <w:bCs/>
          <w:color w:val="6D28D9"/>
          <w:sz w:val="30"/>
          <w:szCs w:val="30"/>
        </w:rPr>
        <w:t xml:space="preserve">Ventilation (nasale / buccale, au repos et en activité)</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982"/>
        <w:gridCol w:w="3782"/>
        <w:gridCol w:w="2982"/>
      </w:tblGrid>
      <w:tr>
        <w:trPr>
          <w:tblHeader/>
        </w:trPr>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 / ÉLÉMENT OBSERVÉ</w:t>
            </w:r>
          </w:p>
        </w:tc>
        <w:tc>
          <w:tcPr>
            <w:tcW w:type="dxa" w:w="37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OBSERVATION</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INTERPRÉTATION</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Ventilation au repos</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Bouche entrouverte, ventilation buccale chronique, test du miroir nasal : buée réduite</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912018"/>
                <w:sz w:val="22"/>
                <w:szCs w:val="22"/>
              </w:rPr>
              <w:t xml:space="preserve">Déficit modéré-sévère</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Ventilation à l’effort</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Ventilation mixte, essoufflement nasal à l’effort</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912018"/>
                <w:sz w:val="22"/>
                <w:szCs w:val="22"/>
              </w:rPr>
              <w:t xml:space="preserve">Déficit modéré-sévère</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Antécédents respiratoires</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Ronflements nocturnes habituels, pas d’apnée signalée</w:t>
            </w:r>
          </w:p>
        </w:tc>
        <w:tc>
          <w:tcPr>
            <w:tcW w:type="dxa" w:w="29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Fragilité</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La ventilation buccale est dominante au repos, avec une perméabilité nasale partielle mais un usage insuffisant des voies nasales. L’essoufflement nasal à l’effort et la présence de ronflements nocturnes témoignent d’une dysfonction ventilatoire chronique, susceptible d’entretenir les troubles oro-faciaux et la malocclusion.</w:t>
      </w:r>
    </w:p>
    <w:p>
      <w:pPr>
        <w:keepNext/>
        <w:keepLines/>
        <w:spacing w:after="220" w:before="360"/>
      </w:pPr>
      <w:r>
        <w:rPr>
          <w:rFonts w:ascii="Cambria" w:cs="Cambria" w:eastAsia="Cambria" w:hAnsi="Cambria"/>
          <w:b/>
          <w:bCs/>
          <w:color w:val="6D28D9"/>
          <w:sz w:val="30"/>
          <w:szCs w:val="30"/>
        </w:rPr>
        <w:t xml:space="preserve">Tonicité oro-faciale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982"/>
        <w:gridCol w:w="3782"/>
        <w:gridCol w:w="2982"/>
      </w:tblGrid>
      <w:tr>
        <w:trPr>
          <w:tblHeader/>
        </w:trPr>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 / ÉLÉMENT OBSERVÉ</w:t>
            </w:r>
          </w:p>
        </w:tc>
        <w:tc>
          <w:tcPr>
            <w:tcW w:type="dxa" w:w="37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OBSERVATION</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INTERPRÉTATION</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Lèvre supérieure</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Court, hypotone, ne couvre pas spontanément les incisives supérieures</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Lèvres au repos</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Non scellées, entrebâillement 4-5 mm</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Muscles mentonniers</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Contraction visible à la déglutition, activation compensatoire</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On observe une hypotonie marquée de la lèvre supérieure et une absence de scellement labial spontané, avec activation compensatoire des muscles mentonniers lors de la déglutition. Ce déficit de tonicité contribue à la posture buccale ouverte et à la persistance des troubles fonctionnels.</w:t>
      </w:r>
    </w:p>
    <w:p>
      <w:pPr>
        <w:keepNext/>
        <w:keepLines/>
        <w:spacing w:after="220" w:before="360"/>
      </w:pPr>
      <w:r>
        <w:rPr>
          <w:rFonts w:ascii="Cambria" w:cs="Cambria" w:eastAsia="Cambria" w:hAnsi="Cambria"/>
          <w:b/>
          <w:bCs/>
          <w:color w:val="6D28D9"/>
          <w:sz w:val="30"/>
          <w:szCs w:val="30"/>
        </w:rPr>
        <w:t xml:space="preserve">Posture linguale et succion</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982"/>
        <w:gridCol w:w="3782"/>
        <w:gridCol w:w="2982"/>
      </w:tblGrid>
      <w:tr>
        <w:trPr>
          <w:tblHeader/>
        </w:trPr>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 / ÉLÉMENT OBSERVÉ</w:t>
            </w:r>
          </w:p>
        </w:tc>
        <w:tc>
          <w:tcPr>
            <w:tcW w:type="dxa" w:w="37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OBSERVATION</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INTERPRÉTATION</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Posture linguale au repos</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Langue posée bas, en appui sur l’arcade inférieure et les incisives, sans contact palatin</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912018"/>
                <w:sz w:val="22"/>
                <w:szCs w:val="22"/>
              </w:rPr>
              <w:t xml:space="preserve">Déficit sévère</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Habitudes orales</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Tétine jusqu’à 4 ans, succion du pouce occasionnelle jusqu’à 5 ans</w:t>
            </w:r>
          </w:p>
        </w:tc>
        <w:tc>
          <w:tcPr>
            <w:tcW w:type="dxa" w:w="29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Fragilité</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La posture linguale basse, sans contact avec le palais, est associée à des antécédents de succion non nutritive prolongée. Cette configuration favorise la persistance d’une déglutition atypique et le maintien d’une malocclusion.</w:t>
      </w:r>
    </w:p>
    <w:p>
      <w:pPr>
        <w:keepNext/>
        <w:keepLines/>
        <w:spacing w:after="220" w:before="360"/>
      </w:pPr>
      <w:r>
        <w:rPr>
          <w:rFonts w:ascii="Cambria" w:cs="Cambria" w:eastAsia="Cambria" w:hAnsi="Cambria"/>
          <w:b/>
          <w:bCs/>
          <w:color w:val="6D28D9"/>
          <w:sz w:val="30"/>
          <w:szCs w:val="30"/>
        </w:rPr>
        <w:t xml:space="preserve">Conséquences fonctionnelles (alimentation, parole, articulé dentaire)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982"/>
        <w:gridCol w:w="3782"/>
        <w:gridCol w:w="2982"/>
      </w:tblGrid>
      <w:tr>
        <w:trPr>
          <w:tblHeader/>
        </w:trPr>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 / ÉLÉMENT OBSERVÉ</w:t>
            </w:r>
          </w:p>
        </w:tc>
        <w:tc>
          <w:tcPr>
            <w:tcW w:type="dxa" w:w="37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OBSERVATION</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INTERPRÉTATION</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Déglutition</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Déglutition primaire persistante, interposition linguale antérieure, contraction mentonnière</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912018"/>
                <w:sz w:val="22"/>
                <w:szCs w:val="22"/>
              </w:rPr>
              <w:t xml:space="preserve">Déficit modéré-sévère</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Mastication</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Mouvements latéraux limités, fragmentation incomplète des solides</w:t>
            </w:r>
          </w:p>
        </w:tc>
        <w:tc>
          <w:tcPr>
            <w:tcW w:type="dxa" w:w="29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Fragilité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Articulation / phonation</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Sigmatisme antérieur isolé sur /s/, /z/, /ʃ/, /ʒ/, production interdentale</w:t>
            </w:r>
          </w:p>
        </w:tc>
        <w:tc>
          <w:tcPr>
            <w:tcW w:type="dxa" w:w="29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Fragilité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Articulé dentaire</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Classe II division 1, béance antérieure 3 mm, overjet augmenté 6 mm, palais ogival</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La déglutition reste de type primaire, avec interposition linguale antérieure et contraction compensatoire des muscles mentonniers. La mastication présente une limitation des mouvements latéraux, tandis que l’articulation est marquée par un sigmatisme antérieur isolé. L’articulé dentaire est perturbé, avec une malocclusion débutante nécessitant une prise en charge orthodontique.</w:t>
      </w:r>
    </w:p>
    <w:p>
      <w:pPr>
        <w:keepNext/>
        <w:keepLines/>
        <w:spacing w:after="220" w:before="360"/>
      </w:pPr>
      <w:r>
        <w:rPr>
          <w:rFonts w:ascii="Cambria" w:cs="Cambria" w:eastAsia="Cambria" w:hAnsi="Cambria"/>
          <w:b/>
          <w:bCs/>
          <w:color w:val="6D28D9"/>
          <w:sz w:val="30"/>
          <w:szCs w:val="30"/>
        </w:rPr>
        <w:t xml:space="preserve">Synthèse par domaine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982"/>
        <w:gridCol w:w="3782"/>
        <w:gridCol w:w="2982"/>
      </w:tblGrid>
      <w:tr>
        <w:trPr>
          <w:tblHeader/>
        </w:trPr>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AXE CLINIQUE</w:t>
            </w:r>
          </w:p>
        </w:tc>
        <w:tc>
          <w:tcPr>
            <w:tcW w:type="dxa" w:w="37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CONSTAT PRINCIPAL</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SÉVÉRITÉ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Praxies bucco-faciales</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Limitation praxique linguale et labiale</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Ventilation</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Ventilation buccale chronique, usage nasal insuffisant</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912018"/>
                <w:sz w:val="22"/>
                <w:szCs w:val="22"/>
              </w:rPr>
              <w:t xml:space="preserve">Sévère</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Tonicité oro-faciale</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Hypotonie labiale, absence de scellement</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Posture linguale et succion</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Langue basse, antécédents de succion prolongée</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912018"/>
                <w:sz w:val="22"/>
                <w:szCs w:val="22"/>
              </w:rPr>
              <w:t xml:space="preserve">Sévère</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Conséquences fonctionnelles</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Déglutition atypique, sigmatisme antérieur, malocclusion</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912018"/>
                <w:sz w:val="22"/>
                <w:szCs w:val="22"/>
              </w:rPr>
              <w:t xml:space="preserve">Sévère</w:t>
            </w:r>
          </w:p>
        </w:tc>
      </w:tr>
    </w:tbl>
    <w:p>
      <w:pPr>
        <w:spacing w:after="220" w:before="0"/>
      </w:pPr>
      <w:r>
        <w:t xml:space="preserve"/>
      </w:r>
    </w:p>
    <w:p>
      <w:pPr>
        <w:spacing w:after="220" w:before="360"/>
      </w:pPr>
      <w:r>
        <w:rPr>
          <w:rFonts w:ascii="Cambria" w:cs="Cambria" w:eastAsia="Cambria" w:hAnsi="Cambria"/>
          <w:b/>
          <w:bCs/>
          <w:color w:val="6D28D9"/>
          <w:sz w:val="30"/>
          <w:szCs w:val="30"/>
        </w:rPr>
        <w:t xml:space="preserve">Observations qualitatives</w:t>
      </w:r>
    </w:p>
    <w:p>
      <w:pPr>
        <w:numPr>
          <w:ilvl w:val="0"/>
          <w:numId w:val="1"/>
        </w:numPr>
        <w:spacing w:after="120" w:before="0" w:line="320"/>
      </w:pPr>
      <w:r>
        <w:rPr>
          <w:rFonts w:ascii="Calibri" w:cs="Calibri" w:eastAsia="Calibri" w:hAnsi="Calibri"/>
          <w:b/>
          <w:bCs/>
          <w:color w:val="1F2937"/>
          <w:sz w:val="22"/>
          <w:szCs w:val="22"/>
        </w:rPr>
        <w:t xml:space="preserve">Praxies bucco-faciales : </w:t>
      </w:r>
      <w:r>
        <w:rPr>
          <w:rFonts w:ascii="Calibri" w:cs="Calibri" w:eastAsia="Calibri" w:hAnsi="Calibri"/>
          <w:i/>
          <w:iCs/>
          <w:color w:val="1F2937"/>
          <w:sz w:val="22"/>
          <w:szCs w:val="22"/>
        </w:rPr>
        <w:t xml:space="preserve">« Protraction linguale préservée, latéralisation droite et gauche limitées (langue qui peine à atteindre les commissures), élévation linguale (« langue au palais ») difficile à initier et à maintenir, abaissement OK, claquement de langue faible, vibration linguale (« r ») non acquise. »</w:t>
      </w:r>
    </w:p>
    <w:p>
      <w:pPr>
        <w:numPr>
          <w:ilvl w:val="0"/>
          <w:numId w:val="1"/>
        </w:numPr>
        <w:spacing w:after="120" w:before="0" w:line="320"/>
      </w:pPr>
      <w:r>
        <w:rPr>
          <w:rFonts w:ascii="Calibri" w:cs="Calibri" w:eastAsia="Calibri" w:hAnsi="Calibri"/>
          <w:b/>
          <w:bCs/>
          <w:color w:val="1F2937"/>
          <w:sz w:val="22"/>
          <w:szCs w:val="22"/>
        </w:rPr>
        <w:t xml:space="preserve">Praxies labiales : </w:t>
      </w:r>
      <w:r>
        <w:rPr>
          <w:rFonts w:ascii="Calibri" w:cs="Calibri" w:eastAsia="Calibri" w:hAnsi="Calibri"/>
          <w:i/>
          <w:iCs/>
          <w:color w:val="1F2937"/>
          <w:sz w:val="22"/>
          <w:szCs w:val="22"/>
        </w:rPr>
        <w:t xml:space="preserve">« Sourire fragile (étirement limité), baiser sonore peu intense, alternance « ouli » réalisée mais lente, gonflement des joues asymétrique avec fuite par les commissures. »</w:t>
      </w:r>
    </w:p>
    <w:p>
      <w:pPr>
        <w:numPr>
          <w:ilvl w:val="0"/>
          <w:numId w:val="1"/>
        </w:numPr>
        <w:spacing w:after="120" w:before="0" w:line="320"/>
      </w:pPr>
      <w:r>
        <w:rPr>
          <w:rFonts w:ascii="Calibri" w:cs="Calibri" w:eastAsia="Calibri" w:hAnsi="Calibri"/>
          <w:b/>
          <w:bCs/>
          <w:color w:val="1F2937"/>
          <w:sz w:val="22"/>
          <w:szCs w:val="22"/>
        </w:rPr>
        <w:t xml:space="preserve">Ventilation : </w:t>
      </w:r>
      <w:r>
        <w:rPr>
          <w:rFonts w:ascii="Calibri" w:cs="Calibri" w:eastAsia="Calibri" w:hAnsi="Calibri"/>
          <w:i/>
          <w:iCs/>
          <w:color w:val="1F2937"/>
          <w:sz w:val="22"/>
          <w:szCs w:val="22"/>
        </w:rPr>
        <w:t xml:space="preserve">« Bouche entrouverte au repos en quasi-permanence, ventilation buccale chronique pendant tout le bilan, test du miroir nasal : buée présente des deux narines mais réduite, suggérant une perméabilité nasale partielle mais un usage habituel insuffisant des voies nasales. »</w:t>
      </w:r>
    </w:p>
    <w:p>
      <w:pPr>
        <w:numPr>
          <w:ilvl w:val="0"/>
          <w:numId w:val="1"/>
        </w:numPr>
        <w:spacing w:after="120" w:before="0" w:line="320"/>
      </w:pPr>
      <w:r>
        <w:rPr>
          <w:rFonts w:ascii="Calibri" w:cs="Calibri" w:eastAsia="Calibri" w:hAnsi="Calibri"/>
          <w:b/>
          <w:bCs/>
          <w:color w:val="1F2937"/>
          <w:sz w:val="22"/>
          <w:szCs w:val="22"/>
        </w:rPr>
        <w:t xml:space="preserve">Posture linguale au repos : </w:t>
      </w:r>
      <w:r>
        <w:rPr>
          <w:rFonts w:ascii="Calibri" w:cs="Calibri" w:eastAsia="Calibri" w:hAnsi="Calibri"/>
          <w:i/>
          <w:iCs/>
          <w:color w:val="1F2937"/>
          <w:sz w:val="22"/>
          <w:szCs w:val="22"/>
        </w:rPr>
        <w:t xml:space="preserve">« Langue posée bas, en appui sur l’arcade inférieure et les incisives, sans contact avec le palais. »</w:t>
      </w:r>
    </w:p>
    <w:p>
      <w:pPr>
        <w:numPr>
          <w:ilvl w:val="0"/>
          <w:numId w:val="1"/>
        </w:numPr>
        <w:spacing w:after="120" w:before="0" w:line="320"/>
      </w:pPr>
      <w:r>
        <w:rPr>
          <w:rFonts w:ascii="Calibri" w:cs="Calibri" w:eastAsia="Calibri" w:hAnsi="Calibri"/>
          <w:b/>
          <w:bCs/>
          <w:color w:val="1F2937"/>
          <w:sz w:val="22"/>
          <w:szCs w:val="22"/>
        </w:rPr>
        <w:t xml:space="preserve">Déglutition : </w:t>
      </w:r>
      <w:r>
        <w:rPr>
          <w:rFonts w:ascii="Calibri" w:cs="Calibri" w:eastAsia="Calibri" w:hAnsi="Calibri"/>
          <w:i/>
          <w:iCs/>
          <w:color w:val="1F2937"/>
          <w:sz w:val="22"/>
          <w:szCs w:val="22"/>
        </w:rPr>
        <w:t xml:space="preserve">« Déglutition typiquement atypique (déglutition de type primaire persistante), pas de scellement labial spontané, contraction visible des muscles mentonniers à la déglutition, interposition linguale antérieure, pas de contact palatin de la pointe de langue. »</w:t>
      </w:r>
    </w:p>
    <w:p>
      <w:pPr>
        <w:numPr>
          <w:ilvl w:val="0"/>
          <w:numId w:val="1"/>
        </w:numPr>
        <w:spacing w:after="120" w:before="0" w:line="320"/>
      </w:pPr>
      <w:r>
        <w:rPr>
          <w:rFonts w:ascii="Calibri" w:cs="Calibri" w:eastAsia="Calibri" w:hAnsi="Calibri"/>
          <w:b/>
          <w:bCs/>
          <w:color w:val="1F2937"/>
          <w:sz w:val="22"/>
          <w:szCs w:val="22"/>
        </w:rPr>
        <w:t xml:space="preserve">Articulation / phonation : </w:t>
      </w:r>
      <w:r>
        <w:rPr>
          <w:rFonts w:ascii="Calibri" w:cs="Calibri" w:eastAsia="Calibri" w:hAnsi="Calibri"/>
          <w:i/>
          <w:iCs/>
          <w:color w:val="1F2937"/>
          <w:sz w:val="22"/>
          <w:szCs w:val="22"/>
        </w:rPr>
        <w:t xml:space="preserve">« Sigmatisme antérieur isolé sur les phonèmes /s/, /z/, /ʃ/, /ʒ/, produits avec interposition linguale entre les arcades (langue qui sort entre les dents — production interdentale). Les autres phonèmes sont produits correctement. »</w:t>
      </w:r>
    </w:p>
    <w:p>
      <w:pPr>
        <w:numPr>
          <w:ilvl w:val="0"/>
          <w:numId w:val="1"/>
        </w:numPr>
        <w:spacing w:after="120" w:before="0" w:line="320"/>
      </w:pPr>
      <w:r>
        <w:rPr>
          <w:rFonts w:ascii="Calibri" w:cs="Calibri" w:eastAsia="Calibri" w:hAnsi="Calibri"/>
          <w:b/>
          <w:bCs/>
          <w:color w:val="1F2937"/>
          <w:sz w:val="22"/>
          <w:szCs w:val="22"/>
        </w:rPr>
        <w:t xml:space="preserve">Articulé dentaire : </w:t>
      </w:r>
      <w:r>
        <w:rPr>
          <w:rFonts w:ascii="Calibri" w:cs="Calibri" w:eastAsia="Calibri" w:hAnsi="Calibri"/>
          <w:i/>
          <w:iCs/>
          <w:color w:val="1F2937"/>
          <w:sz w:val="22"/>
          <w:szCs w:val="22"/>
        </w:rPr>
        <w:t xml:space="preserve">« Classe II division 1, béance antérieure de 3 mm, surplomb (overjet) augmenté à 6 mm, palais ogival et étroit (largeur inter-molaire réduite), incisives supérieures procidentes. »</w:t>
      </w:r>
    </w:p>
    <w:p>
      <w:pPr>
        <w:spacing w:after="220" w:before="360"/>
      </w:pPr>
      <w:r>
        <w:rPr>
          <w:rFonts w:ascii="Cambria" w:cs="Cambria" w:eastAsia="Cambria" w:hAnsi="Cambria"/>
          <w:b/>
          <w:bCs/>
          <w:color w:val="6D28D9"/>
          <w:sz w:val="30"/>
          <w:szCs w:val="30"/>
        </w:rPr>
        <w:t xml:space="preserve">Diagnostic orthophonique</w:t>
      </w:r>
    </w:p>
    <w:p>
      <w:pPr>
        <w:spacing w:after="200" w:before="0" w:line="320"/>
      </w:pPr>
      <w:r>
        <w:rPr>
          <w:rFonts w:ascii="Calibri" w:cs="Calibri" w:eastAsia="Calibri" w:hAnsi="Calibri"/>
          <w:color w:val="1F2937"/>
          <w:sz w:val="22"/>
          <w:szCs w:val="22"/>
        </w:rPr>
        <w:t xml:space="preserve">L’ensemble des observations et des scores recueillis met en évidence un trouble oro-myo-fonctionnel de sévérité modérée, organisé autour de la triade classique : ventilation buccale chronique, déglutition atypique persistante et posture linguale basse. Les difficultés praxiques linguales et labiales, l’hypotonie labiale, ainsi que la persistance d’une déglutition primaire avec interposition linguale antérieure, constituent le noyau du trouble.</w:t>
      </w:r>
    </w:p>
    <w:p>
      <w:pPr>
        <w:spacing w:after="200" w:before="0" w:line="320"/>
      </w:pPr>
      <w:r>
        <w:rPr>
          <w:rFonts w:ascii="Calibri" w:cs="Calibri" w:eastAsia="Calibri" w:hAnsi="Calibri"/>
          <w:color w:val="1F2937"/>
          <w:sz w:val="22"/>
          <w:szCs w:val="22"/>
        </w:rPr>
        <w:t xml:space="preserve">Le sigmatisme antérieur observé sur les phonèmes /s/, /z/, /ʃ/, /ʒ/ est secondaire à la posture linguale basse et à l’absence de scellement labial, sans trouble phonologique sous-jacent. L’articulé dentaire de classe II division 1, la béance antérieure et le palais ogival sont en partie entretenus par ces dysfonctions oro-faciales.</w:t>
      </w:r>
    </w:p>
    <w:p>
      <w:pPr>
        <w:spacing w:after="200" w:before="0" w:line="320"/>
      </w:pPr>
      <w:r>
        <w:rPr>
          <w:rFonts w:ascii="Calibri" w:cs="Calibri" w:eastAsia="Calibri" w:hAnsi="Calibri"/>
          <w:color w:val="1F2937"/>
          <w:sz w:val="22"/>
          <w:szCs w:val="22"/>
        </w:rPr>
        <w:t xml:space="preserve">Le retentissement fonctionnel est manifeste sur la sphère oro-faciale (ventilation, déglutition, articulation) et sur la dynamique occlusale, justifiant une rééducation préalable à la prise en charge orthodontique. Le langage oral et les apprentissages scolaires sont préservés. Le pronostic est favorable sous réserve d’une prise en charge orthophonique soutenue et de l’implication familiale dans la réalisation des exercices quotidiens.</w:t>
      </w:r>
    </w:p>
    <w:p>
      <w:pPr>
        <w:spacing w:after="220" w:before="360"/>
      </w:pPr>
      <w:r>
        <w:rPr>
          <w:rFonts w:ascii="Cambria" w:cs="Cambria" w:eastAsia="Cambria" w:hAnsi="Cambria"/>
          <w:b/>
          <w:bCs/>
          <w:color w:val="6D28D9"/>
          <w:sz w:val="30"/>
          <w:szCs w:val="30"/>
        </w:rPr>
        <w:t xml:space="preserve">Projet thérapeutique</w:t>
      </w:r>
    </w:p>
    <w:p>
      <w:pPr>
        <w:spacing w:after="200" w:before="0" w:line="320"/>
      </w:pPr>
      <w:r>
        <w:rPr>
          <w:rFonts w:ascii="Calibri" w:cs="Calibri" w:eastAsia="Calibri" w:hAnsi="Calibri"/>
          <w:color w:val="1F2937"/>
          <w:sz w:val="22"/>
          <w:szCs w:val="22"/>
        </w:rPr>
        <w:t xml:space="preserve">Compte tenu de la sévérité modérée du trouble oro-myo-fonctionnel et de son impact sur la ventilation, la déglutition, la posture linguale et la dynamique occlusale, une prise en charge orthophonique pluridimensionnelle est indiquée. L’objectif est de restaurer une fonction oro-faciale harmonieuse en amont de la prise en charge orthodontique, afin de stabiliser les résultats à long terme.</w:t>
      </w:r>
    </w:p>
    <w:p>
      <w:pPr>
        <w:numPr>
          <w:ilvl w:val="0"/>
          <w:numId w:val="1"/>
        </w:numPr>
        <w:spacing w:after="120" w:before="0" w:line="320"/>
      </w:pPr>
      <w:r>
        <w:rPr>
          <w:rFonts w:ascii="Calibri" w:cs="Calibri" w:eastAsia="Calibri" w:hAnsi="Calibri"/>
          <w:b/>
          <w:bCs/>
          <w:color w:val="1F2937"/>
          <w:sz w:val="22"/>
          <w:szCs w:val="22"/>
        </w:rPr>
        <w:t xml:space="preserve">Rééducation de la posture linguale : </w:t>
      </w:r>
      <w:r>
        <w:rPr>
          <w:rFonts w:ascii="Calibri" w:cs="Calibri" w:eastAsia="Calibri" w:hAnsi="Calibri"/>
          <w:color w:val="1F2937"/>
          <w:sz w:val="22"/>
          <w:szCs w:val="22"/>
        </w:rPr>
        <w:t xml:space="preserve">apprentissage du positionnement de la langue au palais au repos et lors de la déglutition.</w:t>
      </w:r>
    </w:p>
    <w:p>
      <w:pPr>
        <w:numPr>
          <w:ilvl w:val="0"/>
          <w:numId w:val="1"/>
        </w:numPr>
        <w:spacing w:after="120" w:before="0" w:line="320"/>
      </w:pPr>
      <w:r>
        <w:rPr>
          <w:rFonts w:ascii="Calibri" w:cs="Calibri" w:eastAsia="Calibri" w:hAnsi="Calibri"/>
          <w:b/>
          <w:bCs/>
          <w:color w:val="1F2937"/>
          <w:sz w:val="22"/>
          <w:szCs w:val="22"/>
        </w:rPr>
        <w:t xml:space="preserve">Renforcement de la tonicité labiale : </w:t>
      </w:r>
      <w:r>
        <w:rPr>
          <w:rFonts w:ascii="Calibri" w:cs="Calibri" w:eastAsia="Calibri" w:hAnsi="Calibri"/>
          <w:color w:val="1F2937"/>
          <w:sz w:val="22"/>
          <w:szCs w:val="22"/>
        </w:rPr>
        <w:t xml:space="preserve">exercices ciblés pour améliorer le scellement labial et l’endurance de la lèvre supérieure.</w:t>
      </w:r>
    </w:p>
    <w:p>
      <w:pPr>
        <w:numPr>
          <w:ilvl w:val="0"/>
          <w:numId w:val="1"/>
        </w:numPr>
        <w:spacing w:after="120" w:before="0" w:line="320"/>
      </w:pPr>
      <w:r>
        <w:rPr>
          <w:rFonts w:ascii="Calibri" w:cs="Calibri" w:eastAsia="Calibri" w:hAnsi="Calibri"/>
          <w:b/>
          <w:bCs/>
          <w:color w:val="1F2937"/>
          <w:sz w:val="22"/>
          <w:szCs w:val="22"/>
        </w:rPr>
        <w:t xml:space="preserve">Normalisation de la ventilation nasale : </w:t>
      </w:r>
      <w:r>
        <w:rPr>
          <w:rFonts w:ascii="Calibri" w:cs="Calibri" w:eastAsia="Calibri" w:hAnsi="Calibri"/>
          <w:color w:val="1F2937"/>
          <w:sz w:val="22"/>
          <w:szCs w:val="22"/>
        </w:rPr>
        <w:t xml:space="preserve">travail sur la prise de conscience et l’automatisation de la respiration nasale, avec guidance parentale pour la surveillance nocturne.</w:t>
      </w:r>
    </w:p>
    <w:p>
      <w:pPr>
        <w:numPr>
          <w:ilvl w:val="0"/>
          <w:numId w:val="1"/>
        </w:numPr>
        <w:spacing w:after="120" w:before="0" w:line="320"/>
      </w:pPr>
      <w:r>
        <w:rPr>
          <w:rFonts w:ascii="Calibri" w:cs="Calibri" w:eastAsia="Calibri" w:hAnsi="Calibri"/>
          <w:b/>
          <w:bCs/>
          <w:color w:val="1F2937"/>
          <w:sz w:val="22"/>
          <w:szCs w:val="22"/>
        </w:rPr>
        <w:t xml:space="preserve">Automatisation d’une déglutition secondaire : </w:t>
      </w:r>
      <w:r>
        <w:rPr>
          <w:rFonts w:ascii="Calibri" w:cs="Calibri" w:eastAsia="Calibri" w:hAnsi="Calibri"/>
          <w:color w:val="1F2937"/>
          <w:sz w:val="22"/>
          <w:szCs w:val="22"/>
        </w:rPr>
        <w:t xml:space="preserve">suppression de l’interposition linguale et des contractions mentonnières, acquisition d’un schéma déglutitoire mature.</w:t>
      </w:r>
    </w:p>
    <w:p>
      <w:pPr>
        <w:numPr>
          <w:ilvl w:val="0"/>
          <w:numId w:val="1"/>
        </w:numPr>
        <w:spacing w:after="120" w:before="0" w:line="320"/>
      </w:pPr>
      <w:r>
        <w:rPr>
          <w:rFonts w:ascii="Calibri" w:cs="Calibri" w:eastAsia="Calibri" w:hAnsi="Calibri"/>
          <w:b/>
          <w:bCs/>
          <w:color w:val="1F2937"/>
          <w:sz w:val="22"/>
          <w:szCs w:val="22"/>
        </w:rPr>
        <w:t xml:space="preserve">Correction du sigmatisme antérieur : </w:t>
      </w:r>
      <w:r>
        <w:rPr>
          <w:rFonts w:ascii="Calibri" w:cs="Calibri" w:eastAsia="Calibri" w:hAnsi="Calibri"/>
          <w:color w:val="1F2937"/>
          <w:sz w:val="22"/>
          <w:szCs w:val="22"/>
        </w:rPr>
        <w:t xml:space="preserve">guidance articulatoire et transfert des acquis en parole spontanée.</w:t>
      </w:r>
    </w:p>
    <w:p>
      <w:pPr>
        <w:numPr>
          <w:ilvl w:val="0"/>
          <w:numId w:val="1"/>
        </w:numPr>
        <w:spacing w:after="120" w:before="0" w:line="320"/>
      </w:pPr>
      <w:r>
        <w:rPr>
          <w:rFonts w:ascii="Calibri" w:cs="Calibri" w:eastAsia="Calibri" w:hAnsi="Calibri"/>
          <w:b/>
          <w:bCs/>
          <w:color w:val="1F2937"/>
          <w:sz w:val="22"/>
          <w:szCs w:val="22"/>
        </w:rPr>
        <w:t xml:space="preserve">Accompagnement parental : </w:t>
      </w:r>
      <w:r>
        <w:rPr>
          <w:rFonts w:ascii="Calibri" w:cs="Calibri" w:eastAsia="Calibri" w:hAnsi="Calibri"/>
          <w:color w:val="1F2937"/>
          <w:sz w:val="22"/>
          <w:szCs w:val="22"/>
        </w:rPr>
        <w:t xml:space="preserve">conseils et exercices quotidiens à domicile pour soutenir la rééducation et limiter les facteurs d’entretien (habitudes orales, posture).</w:t>
      </w:r>
    </w:p>
    <w:p>
      <w:pPr>
        <w:spacing w:after="200" w:before="200" w:line="320"/>
      </w:pPr>
      <w:r>
        <w:rPr>
          <w:rFonts w:ascii="Calibri" w:cs="Calibri" w:eastAsia="Calibri" w:hAnsi="Calibri"/>
          <w:color w:val="1F2937"/>
          <w:sz w:val="22"/>
          <w:szCs w:val="22"/>
        </w:rPr>
        <w:t xml:space="preserve">La prise en charge est recommandée à raison de 1 à 2 séances hebdomadaires sur une durée minimale de 6 mois, en amont de l’appareillage orthodontique prévu à la rentrée 2026. Un total de 50 séances au titre du code AMO 15,4 est préconisé. Un avis ORL complémentaire est recommandé si les ronflements nocturnes persistent malgré la rééducation. En cas de retentissement scolaire notable, un courrier MDPH pourra être envisagé pour la mise en place d’aménagements adaptés.</w:t>
      </w:r>
    </w:p>
    <w:p>
      <w:pPr>
        <w:keepNext/>
        <w:keepLines/>
        <w:pBdr>
          <w:bottom w:val="single" w:color="6D28D9" w:sz="12" w:space="1"/>
        </w:pBdr>
        <w:spacing w:after="200" w:before="400"/>
      </w:pPr>
      <w:r>
        <w:t xml:space="preserve"/>
      </w:r>
    </w:p>
    <w:p>
      <w:pPr>
        <w:keepNext/>
        <w:keepLines/>
        <w:spacing w:after="60" w:before="0"/>
        <w:jc w:val="right"/>
      </w:pPr>
      <w:r>
        <w:rPr>
          <w:rFonts w:ascii="Cambria" w:cs="Cambria" w:eastAsia="Cambria" w:hAnsi="Cambria"/>
          <w:b/>
          <w:bCs/>
          <w:color w:val="1F2937"/>
          <w:sz w:val="26"/>
          <w:szCs w:val="26"/>
        </w:rPr>
        <w:t xml:space="preserve">Marie Dupond</w:t>
      </w:r>
    </w:p>
    <w:p>
      <w:pPr>
        <w:keepNext/>
        <w:keepLines/>
        <w:spacing w:after="140" w:before="0"/>
        <w:jc w:val="right"/>
      </w:pPr>
      <w:r>
        <w:rPr>
          <w:rFonts w:ascii="Calibri" w:cs="Calibri" w:eastAsia="Calibri" w:hAnsi="Calibri"/>
          <w:color w:val="6B7280"/>
          <w:sz w:val="20"/>
          <w:szCs w:val="20"/>
        </w:rPr>
        <w:t xml:space="preserve">Orthophoniste</w:t>
      </w:r>
    </w:p>
    <w:p>
      <w:pPr>
        <w:keepNext/>
        <w:keepLines/>
        <w:spacing w:after="100" w:before="0"/>
        <w:jc w:val="right"/>
      </w:pPr>
      <w:r>
        <w:rPr>
          <w:rFonts w:ascii="Calibri" w:cs="Calibri" w:eastAsia="Calibri" w:hAnsi="Calibri"/>
          <w:i/>
          <w:iCs/>
          <w:color w:val="6B7280"/>
          <w:sz w:val="20"/>
          <w:szCs w:val="20"/>
        </w:rPr>
        <w:t xml:space="preserve">[Signature]</w:t>
      </w:r>
    </w:p>
    <w:p>
      <w:pPr>
        <w:keepLines/>
        <w:spacing w:after="0" w:before="240"/>
        <w:jc w:val="right"/>
      </w:pPr>
      <w:r>
        <w:rPr>
          <w:rFonts w:ascii="Calibri" w:cs="Calibri" w:eastAsia="Calibri" w:hAnsi="Calibri"/>
          <w:color w:val="6B7280"/>
          <w:sz w:val="18"/>
          <w:szCs w:val="18"/>
        </w:rPr>
        <w:t xml:space="preserve">ADELI 7512637434</w:t>
      </w:r>
    </w:p>
    <w:sectPr>
      <w:headerReference w:type="default" r:id="rId7"/>
      <w:headerReference w:type="first" r:id="rId8"/>
      <w:footerReference w:type="default" r:id="rId9"/>
      <w:footerReference w:type="first" r:id="rId10"/>
      <w:pgSz w:w="11906" w:h="16838" w:orient="portrait"/>
      <w:pgMar w:top="900" w:right="1080" w:bottom="900" w:left="1080" w:header="600" w:footer="600"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Calibri" w:cs="Calibri" w:eastAsia="Calibri" w:hAnsi="Calibri"/>
        <w:i/>
        <w:iCs/>
        <w:color w:val="6B7280"/>
        <w:sz w:val="18"/>
        <w:szCs w:val="18"/>
      </w:rPr>
      <w:t xml:space="preserve">Document confidentiel soumis au secret professionnel (art. L1110-4, Code de la santé publique).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Calibri" w:cs="Calibri" w:eastAsia="Calibri" w:hAnsi="Calibri"/>
        <w:i/>
        <w:iCs/>
        <w:color w:val="6B7280"/>
        <w:sz w:val="18"/>
        <w:szCs w:val="18"/>
      </w:rPr>
      <w:t xml:space="preserve">Document confidentiel soumis au secret professionnel (art. L1110-4, Code de la santé publique).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before="0"/>
      <w:jc w:val="right"/>
    </w:pPr>
    <w:r>
      <w:rPr>
        <w:rFonts w:ascii="Calibri" w:cs="Calibri" w:eastAsia="Calibri" w:hAnsi="Calibri"/>
        <w:color w:val="9CA3AF"/>
        <w:sz w:val="18"/>
        <w:szCs w:val="18"/>
      </w:rPr>
      <w:t xml:space="preserve">Léo Beauvallet — 2 mai 2026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before="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color w:val="1F293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F2937"/>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CRBO Robert Eymard — Déglutition</dc:title>
  <dc:creator>Orthonie</dc:creator>
  <dc:description>Compte-rendu de bilan orthophonique — Modèle Orthonie</dc:description>
  <cp:lastModifiedBy>Un-named</cp:lastModifiedBy>
  <cp:revision>1</cp:revision>
  <dcterms:created xsi:type="dcterms:W3CDTF">2026-05-02T18:25:12.191Z</dcterms:created>
  <dcterms:modified xsi:type="dcterms:W3CDTF">2026-05-02T18:25:12.191Z</dcterms:modified>
</cp:coreProperties>
</file>

<file path=docProps/custom.xml><?xml version="1.0" encoding="utf-8"?>
<Properties xmlns="http://schemas.openxmlformats.org/officeDocument/2006/custom-properties" xmlns:vt="http://schemas.openxmlformats.org/officeDocument/2006/docPropsVTypes"/>
</file>